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b/>
        </w:rPr>
        <w:t>Připravovaný logistický areál Amazon</w:t>
        <w:br/>
        <w:t>Boršov nad Vltavou</w:t>
      </w:r>
    </w:p>
    <w:p>
      <w:pPr>
        <w:pStyle w:val="Subtitle"/>
        <w:jc w:val="center"/>
      </w:pPr>
      <w:r>
        <w:rPr>
          <w:i/>
        </w:rPr>
        <w:t>Analytická studie rizik pro obec, veřejný prostor a kvalitu života obyvatel</w:t>
      </w:r>
    </w:p>
    <w:p>
      <w:pPr>
        <w:spacing w:after="80"/>
      </w:pPr>
      <w:r>
        <w:rPr>
          <w:rFonts w:ascii="Arial" w:hAnsi="Arial"/>
          <w:b w:val="0"/>
          <w:i/>
          <w:sz w:val="18"/>
        </w:rPr>
        <w:t>Pracovní verze zpracovaná z veřejně dostupných zdrojů k datu 1. 7. 2026. Dokument záměrně odděluje ověřená fakta, mediálně publikované informace, analytické závěry a hypotézy, které musí být ověřeny v navazujících řízeních.</w:t>
      </w:r>
    </w:p>
    <w:p>
      <w:r>
        <w:br w:type="page"/>
      </w:r>
    </w:p>
    <w:p>
      <w:pPr>
        <w:pStyle w:val="Heading1"/>
      </w:pPr>
      <w:r>
        <w:t>Executive summary</w:t>
      </w:r>
    </w:p>
    <w:p>
      <w:pPr>
        <w:spacing w:after="80"/>
      </w:pPr>
      <w:r>
        <w:rPr>
          <w:rFonts w:ascii="Arial" w:hAnsi="Arial"/>
          <w:b w:val="0"/>
          <w:i w:val="0"/>
          <w:sz w:val="18"/>
        </w:rPr>
        <w:t>Záměr výstavby velké logistické haly pro společnost Amazon v Boršově nad Vltavou je z pohledu obce rizikový především rozsahem, dopravním dopadem, časovým tlakem na samosprávu a obtížnou vratností rozhodnutí. Nejde pouze o jednu halu, ale o další krok v rozvoji rozsáhlého průmyslového parku v území mezi Boršovem, Homolemi a jižním okrajem Českých Budějovic.</w:t>
      </w:r>
    </w:p>
    <w:p>
      <w:pPr>
        <w:spacing w:after="80"/>
      </w:pPr>
      <w:r>
        <w:rPr>
          <w:rFonts w:ascii="Arial" w:hAnsi="Arial"/>
          <w:b w:val="0"/>
          <w:i w:val="0"/>
          <w:sz w:val="18"/>
        </w:rPr>
        <w:t>Za klíčový problém lze považovat kombinaci tří faktorů: 1) historicky připravené a částečně povolené průmyslové využití území, 2) aktuální výraznou změnu provozního konceptu směrem k jednomu velkému nájemci typu Amazon a 3) krátký čas, v němž se s konkrétní podobou záměru seznamuje obec a veřejnost. V mediálních výstupech je tato situace označována jako „šibeniční termín“ a jako „rozjetý vlak“. [S1], [S2]</w:t>
      </w:r>
    </w:p>
    <w:p>
      <w:pPr>
        <w:spacing w:after="80"/>
      </w:pPr>
      <w:r>
        <w:rPr>
          <w:rFonts w:ascii="Arial" w:hAnsi="Arial"/>
          <w:b w:val="0"/>
          <w:i w:val="0"/>
          <w:sz w:val="18"/>
        </w:rPr>
        <w:t>Největší dopad na obyvatele Boršova lze očekávat v dopravě. Podle prezentovaných údajů má do areálu denně mířit 277 nákladních vozidel, desítky autobusů a necelá pětistovka osobních aut. I pokud by se část provozu podařilo časově rozložit a vést mimo obec, jde o dlouhodobý zdroj dopravního rizika v místě, kde obyvatelé a vedení obce již dnes upozorňují na problematickou průjezdnost E55/I/3 a navazujících okružních křižovatek. [S2], [S1]</w:t>
      </w:r>
    </w:p>
    <w:p>
      <w:pPr>
        <w:spacing w:after="80"/>
      </w:pPr>
      <w:r>
        <w:rPr>
          <w:rFonts w:ascii="Arial" w:hAnsi="Arial"/>
          <w:b w:val="0"/>
          <w:i w:val="0"/>
          <w:sz w:val="18"/>
        </w:rPr>
        <w:t>Z pohledu životního prostředí je významné, že pro starší záměr „Zóna ekonomického rozvoje Boršov“ i pro záměr SO.05 bylo ve zjišťovacím řízení EIA rozhodnuto, že záměry nebudou dále posuzovány podle zákona. Tato skutečnost sama o sobě neznamená protiprávnost. Z hlediska veřejné důvěry je však důležité prověřit, zda aktuální podoba haly pro Amazon nepředstavuje změnu parametrů, dopravního režimu nebo kumulativních vlivů, která by si zasloužila nové, transparentní a detailní posouzení. [S4], [S5]</w:t>
      </w:r>
    </w:p>
    <w:p>
      <w:pPr>
        <w:spacing w:after="80"/>
      </w:pPr>
      <w:r>
        <w:rPr>
          <w:rFonts w:ascii="Arial" w:hAnsi="Arial"/>
          <w:b w:val="0"/>
          <w:i w:val="0"/>
          <w:sz w:val="18"/>
        </w:rPr>
        <w:t>Dohledatelným projevem odporu je elektronická petice na Portálu veřejné správy proti záměru „Zóna ekonomického rozvoje Boršov nad Vltavou I“ pro projekt Amazon. Dále existují mediálně zachycené výhrady obyvatel na veřejném setkání a veřejné příspěvky na sociálních sítích, zejména v regionálním urbanistickém prostředí. Samostatná veřejná facebooková skupina zaměřená výhradně na zastavení záměru nebyla při běžném webovém vyhledávání jednoznačně dohledána. [S7], [S1], [S2], [S8]</w:t>
      </w:r>
    </w:p>
    <w:p>
      <w:pPr>
        <w:pStyle w:val="Heading1"/>
      </w:pPr>
      <w:r>
        <w:t>1. Velmi stručná fakta o stavbě</w:t>
      </w:r>
    </w:p>
    <w:tbl>
      <w:tblPr>
        <w:tblStyle w:val="TableGrid"/>
        <w:tblW w:type="auto" w:w="0"/>
        <w:jc w:val="center"/>
        <w:tblLook w:firstColumn="1" w:firstRow="1" w:lastColumn="0" w:lastRow="0" w:noHBand="0" w:noVBand="1" w:val="04A0"/>
      </w:tblPr>
      <w:tblGrid>
        <w:gridCol w:w="4986"/>
        <w:gridCol w:w="4986"/>
      </w:tblGrid>
      <w:tr>
        <w:tc>
          <w:tcPr>
            <w:tcW w:type="dxa" w:w="4986"/>
            <w:shd w:fill="D9EAF7"/>
          </w:tcPr>
          <w:p>
            <w:r/>
            <w:r>
              <w:rPr>
                <w:rFonts w:ascii="Arial" w:hAnsi="Arial"/>
                <w:b/>
                <w:sz w:val="17"/>
              </w:rPr>
              <w:t>Oblast</w:t>
            </w:r>
          </w:p>
        </w:tc>
        <w:tc>
          <w:tcPr>
            <w:tcW w:type="dxa" w:w="4986"/>
            <w:shd w:fill="D9EAF7"/>
          </w:tcPr>
          <w:p>
            <w:r/>
            <w:r>
              <w:rPr>
                <w:rFonts w:ascii="Arial" w:hAnsi="Arial"/>
                <w:b/>
                <w:sz w:val="17"/>
              </w:rPr>
              <w:t>Veřejně známý údaj</w:t>
            </w:r>
          </w:p>
        </w:tc>
      </w:tr>
      <w:tr>
        <w:tc>
          <w:tcPr>
            <w:tcW w:type="dxa" w:w="4986"/>
            <w:vAlign w:val="top"/>
          </w:tcPr>
          <w:p>
            <w:r/>
            <w:r>
              <w:rPr>
                <w:rFonts w:ascii="Arial" w:hAnsi="Arial"/>
                <w:b w:val="0"/>
                <w:sz w:val="17"/>
              </w:rPr>
              <w:t>Lokalita</w:t>
            </w:r>
          </w:p>
        </w:tc>
        <w:tc>
          <w:tcPr>
            <w:tcW w:type="dxa" w:w="4986"/>
            <w:vAlign w:val="top"/>
          </w:tcPr>
          <w:p>
            <w:r/>
            <w:r>
              <w:rPr>
                <w:rFonts w:ascii="Arial" w:hAnsi="Arial"/>
                <w:b w:val="0"/>
                <w:sz w:val="17"/>
              </w:rPr>
              <w:t>Průmyslová zóna mezi Boršovem nad Vltavou, Homolemi a jižním okrajem Českých Budějovic; v sousedství bývalého vojenského letiště a u hlavních dopravních vazeb na I/3/D3. [S1], [S3]</w:t>
            </w:r>
          </w:p>
        </w:tc>
      </w:tr>
      <w:tr>
        <w:tc>
          <w:tcPr>
            <w:tcW w:type="dxa" w:w="4986"/>
            <w:vAlign w:val="top"/>
          </w:tcPr>
          <w:p>
            <w:r/>
            <w:r>
              <w:rPr>
                <w:rFonts w:ascii="Arial" w:hAnsi="Arial"/>
                <w:b w:val="0"/>
                <w:sz w:val="17"/>
              </w:rPr>
              <w:t>Typ stavby</w:t>
            </w:r>
          </w:p>
        </w:tc>
        <w:tc>
          <w:tcPr>
            <w:tcW w:type="dxa" w:w="4986"/>
            <w:vAlign w:val="top"/>
          </w:tcPr>
          <w:p>
            <w:r/>
            <w:r>
              <w:rPr>
                <w:rFonts w:ascii="Arial" w:hAnsi="Arial"/>
                <w:b w:val="0"/>
                <w:sz w:val="17"/>
              </w:rPr>
              <w:t>Velká dvoupodlažní logistická / fulfillment hala pro Amazon. [S1], [S2], [S3]</w:t>
            </w:r>
          </w:p>
        </w:tc>
      </w:tr>
      <w:tr>
        <w:tc>
          <w:tcPr>
            <w:tcW w:type="dxa" w:w="4986"/>
            <w:vAlign w:val="top"/>
          </w:tcPr>
          <w:p>
            <w:r/>
            <w:r>
              <w:rPr>
                <w:rFonts w:ascii="Arial" w:hAnsi="Arial"/>
                <w:b w:val="0"/>
                <w:sz w:val="17"/>
              </w:rPr>
              <w:t>Rozměry</w:t>
            </w:r>
          </w:p>
        </w:tc>
        <w:tc>
          <w:tcPr>
            <w:tcW w:type="dxa" w:w="4986"/>
            <w:vAlign w:val="top"/>
          </w:tcPr>
          <w:p>
            <w:r/>
            <w:r>
              <w:rPr>
                <w:rFonts w:ascii="Arial" w:hAnsi="Arial"/>
                <w:b w:val="0"/>
                <w:sz w:val="17"/>
              </w:rPr>
              <w:t>Délka téměř 500 m; výška uváděna přes 15 až přes 16 m; plocha dle veřejného setkání přes 76 000 m2. [S1], [S2], [S3]</w:t>
            </w:r>
          </w:p>
        </w:tc>
      </w:tr>
      <w:tr>
        <w:tc>
          <w:tcPr>
            <w:tcW w:type="dxa" w:w="4986"/>
            <w:vAlign w:val="top"/>
          </w:tcPr>
          <w:p>
            <w:r/>
            <w:r>
              <w:rPr>
                <w:rFonts w:ascii="Arial" w:hAnsi="Arial"/>
                <w:b w:val="0"/>
                <w:sz w:val="17"/>
              </w:rPr>
              <w:t>Zaměstnanost</w:t>
            </w:r>
          </w:p>
        </w:tc>
        <w:tc>
          <w:tcPr>
            <w:tcW w:type="dxa" w:w="4986"/>
            <w:vAlign w:val="top"/>
          </w:tcPr>
          <w:p>
            <w:r/>
            <w:r>
              <w:rPr>
                <w:rFonts w:ascii="Arial" w:hAnsi="Arial"/>
                <w:b w:val="0"/>
                <w:sz w:val="17"/>
              </w:rPr>
              <w:t>Mediálně a prezentačně uváděno přibližně 1 700 pracovních míst; ve veřejné prezentaci se objevilo cca 840 lidí v jedné směně, dvě směny. [S1], [S2], [S3]</w:t>
            </w:r>
          </w:p>
        </w:tc>
      </w:tr>
      <w:tr>
        <w:tc>
          <w:tcPr>
            <w:tcW w:type="dxa" w:w="4986"/>
            <w:vAlign w:val="top"/>
          </w:tcPr>
          <w:p>
            <w:r/>
            <w:r>
              <w:rPr>
                <w:rFonts w:ascii="Arial" w:hAnsi="Arial"/>
                <w:b w:val="0"/>
                <w:sz w:val="17"/>
              </w:rPr>
              <w:t>Provoz</w:t>
            </w:r>
          </w:p>
        </w:tc>
        <w:tc>
          <w:tcPr>
            <w:tcW w:type="dxa" w:w="4986"/>
            <w:vAlign w:val="top"/>
          </w:tcPr>
          <w:p>
            <w:r/>
            <w:r>
              <w:rPr>
                <w:rFonts w:ascii="Arial" w:hAnsi="Arial"/>
                <w:b w:val="0"/>
                <w:sz w:val="17"/>
              </w:rPr>
              <w:t>Podle prezentace dvě směny: 6:30–17:00 a 18:00–4:30. [S2]</w:t>
            </w:r>
          </w:p>
        </w:tc>
      </w:tr>
      <w:tr>
        <w:tc>
          <w:tcPr>
            <w:tcW w:type="dxa" w:w="4986"/>
            <w:vAlign w:val="top"/>
          </w:tcPr>
          <w:p>
            <w:r/>
            <w:r>
              <w:rPr>
                <w:rFonts w:ascii="Arial" w:hAnsi="Arial"/>
                <w:b w:val="0"/>
                <w:sz w:val="17"/>
              </w:rPr>
              <w:t>Doprava</w:t>
            </w:r>
          </w:p>
        </w:tc>
        <w:tc>
          <w:tcPr>
            <w:tcW w:type="dxa" w:w="4986"/>
            <w:vAlign w:val="top"/>
          </w:tcPr>
          <w:p>
            <w:r/>
            <w:r>
              <w:rPr>
                <w:rFonts w:ascii="Arial" w:hAnsi="Arial"/>
                <w:b w:val="0"/>
                <w:sz w:val="17"/>
              </w:rPr>
              <w:t>Podle prezentace 277 nákladních vozidel denně, desítky autobusů a necelá pětistovka osobních aut. [S2]</w:t>
            </w:r>
          </w:p>
        </w:tc>
      </w:tr>
      <w:tr>
        <w:tc>
          <w:tcPr>
            <w:tcW w:type="dxa" w:w="4986"/>
            <w:vAlign w:val="top"/>
          </w:tcPr>
          <w:p>
            <w:r/>
            <w:r>
              <w:rPr>
                <w:rFonts w:ascii="Arial" w:hAnsi="Arial"/>
                <w:b w:val="0"/>
                <w:sz w:val="17"/>
              </w:rPr>
              <w:t>Developer / vlastník projektu</w:t>
            </w:r>
          </w:p>
        </w:tc>
        <w:tc>
          <w:tcPr>
            <w:tcW w:type="dxa" w:w="4986"/>
            <w:vAlign w:val="top"/>
          </w:tcPr>
          <w:p>
            <w:r/>
            <w:r>
              <w:rPr>
                <w:rFonts w:ascii="Arial" w:hAnsi="Arial"/>
                <w:b w:val="0"/>
                <w:sz w:val="17"/>
              </w:rPr>
              <w:t>Veřejně uváděni Accolade a GARBE; Accolade oznámila v roce 2025 vstup / převzetí GARBE Park České Budějovice. [S1], [S3], [S6]</w:t>
            </w:r>
          </w:p>
        </w:tc>
      </w:tr>
      <w:tr>
        <w:tc>
          <w:tcPr>
            <w:tcW w:type="dxa" w:w="4986"/>
            <w:vAlign w:val="top"/>
          </w:tcPr>
          <w:p>
            <w:r/>
            <w:r>
              <w:rPr>
                <w:rFonts w:ascii="Arial" w:hAnsi="Arial"/>
                <w:b w:val="0"/>
                <w:sz w:val="17"/>
              </w:rPr>
              <w:t>Role Amazonu</w:t>
            </w:r>
          </w:p>
        </w:tc>
        <w:tc>
          <w:tcPr>
            <w:tcW w:type="dxa" w:w="4986"/>
            <w:vAlign w:val="top"/>
          </w:tcPr>
          <w:p>
            <w:r/>
            <w:r>
              <w:rPr>
                <w:rFonts w:ascii="Arial" w:hAnsi="Arial"/>
                <w:b w:val="0"/>
                <w:sz w:val="17"/>
              </w:rPr>
              <w:t>Amazon má být nájemcem, nikoli přímým stavebníkem; mediálně se uvádí dlouhodobý nájem na 20 let. [S1]</w:t>
            </w:r>
          </w:p>
        </w:tc>
      </w:tr>
      <w:tr>
        <w:tc>
          <w:tcPr>
            <w:tcW w:type="dxa" w:w="4986"/>
            <w:vAlign w:val="top"/>
          </w:tcPr>
          <w:p>
            <w:r/>
            <w:r>
              <w:rPr>
                <w:rFonts w:ascii="Arial" w:hAnsi="Arial"/>
                <w:b w:val="0"/>
                <w:sz w:val="17"/>
              </w:rPr>
              <w:t>Harmonogram</w:t>
            </w:r>
          </w:p>
        </w:tc>
        <w:tc>
          <w:tcPr>
            <w:tcW w:type="dxa" w:w="4986"/>
            <w:vAlign w:val="top"/>
          </w:tcPr>
          <w:p>
            <w:r/>
            <w:r>
              <w:rPr>
                <w:rFonts w:ascii="Arial" w:hAnsi="Arial"/>
                <w:b w:val="0"/>
                <w:sz w:val="17"/>
              </w:rPr>
              <w:t>Developerské firmy podle médií sbírají podklady pro povolení stavby, zahájení plánují ještě v roce 2026, otevření / dokončení ve druhé polovině roku 2028. [S1], [S3]</w:t>
            </w:r>
          </w:p>
        </w:tc>
      </w:tr>
      <w:tr>
        <w:tc>
          <w:tcPr>
            <w:tcW w:type="dxa" w:w="4986"/>
            <w:vAlign w:val="top"/>
          </w:tcPr>
          <w:p>
            <w:r/>
            <w:r>
              <w:rPr>
                <w:rFonts w:ascii="Arial" w:hAnsi="Arial"/>
                <w:b w:val="0"/>
                <w:sz w:val="17"/>
              </w:rPr>
              <w:t>Stav EIA</w:t>
            </w:r>
          </w:p>
        </w:tc>
        <w:tc>
          <w:tcPr>
            <w:tcW w:type="dxa" w:w="4986"/>
            <w:vAlign w:val="top"/>
          </w:tcPr>
          <w:p>
            <w:r/>
            <w:r>
              <w:rPr>
                <w:rFonts w:ascii="Arial" w:hAnsi="Arial"/>
                <w:b w:val="0"/>
                <w:sz w:val="17"/>
              </w:rPr>
              <w:t>Starší záměr JHC926 i navazující záměr JHC1128 mají závěr zjišťovacího řízení „nepodléhá dalšímu posuzování“. [S4], [S5]</w:t>
            </w:r>
          </w:p>
        </w:tc>
      </w:tr>
    </w:tbl>
    <w:p>
      <w:pPr>
        <w:pStyle w:val="Heading1"/>
      </w:pPr>
      <w:r>
        <w:t>2. Metodika a limity studie</w:t>
      </w:r>
    </w:p>
    <w:p>
      <w:pPr>
        <w:spacing w:after="80"/>
      </w:pPr>
      <w:r>
        <w:rPr>
          <w:rFonts w:ascii="Arial" w:hAnsi="Arial"/>
          <w:b w:val="0"/>
          <w:i w:val="0"/>
          <w:sz w:val="18"/>
        </w:rPr>
        <w:t>Studie vychází pouze z veřejně dostupných zdrojů. Nejde o právní posudek, znalecký posudek, autorizovanou dopravní studii ani o náhradu dokumentace EIA. Jejím cílem je identifikovat rizika a nestandardní parametry, které by měly být předmětem dalšího ověření obcí, právním zástupcem, autorizovanými specialisty a veřejností.</w:t>
      </w:r>
    </w:p>
    <w:p>
      <w:pPr>
        <w:spacing w:after="80"/>
      </w:pPr>
      <w:r>
        <w:rPr>
          <w:rFonts w:ascii="Arial" w:hAnsi="Arial"/>
          <w:b w:val="0"/>
          <w:i w:val="0"/>
          <w:sz w:val="18"/>
        </w:rPr>
        <w:t>V dokumentu jsou rozlišeny čtyři typy tvrzení:</w:t>
      </w:r>
    </w:p>
    <w:p>
      <w:pPr>
        <w:pStyle w:val="ListBullet"/>
        <w:spacing w:after="40"/>
      </w:pPr>
      <w:r>
        <w:rPr>
          <w:rFonts w:ascii="Arial" w:hAnsi="Arial"/>
          <w:sz w:val="18"/>
        </w:rPr>
        <w:t>Ověřená fakta: údaje z veřejných dokumentů CENIA/EIA, oficiálních tiskových zpráv a veřejně dostupných článků.</w:t>
      </w:r>
    </w:p>
    <w:p>
      <w:pPr>
        <w:pStyle w:val="ListBullet"/>
        <w:spacing w:after="40"/>
      </w:pPr>
      <w:r>
        <w:rPr>
          <w:rFonts w:ascii="Arial" w:hAnsi="Arial"/>
          <w:sz w:val="18"/>
        </w:rPr>
        <w:t>Mediálně publikované informace: údaje zveřejněné regionálními nebo celostátními médii po veřejném projednání.</w:t>
      </w:r>
    </w:p>
    <w:p>
      <w:pPr>
        <w:pStyle w:val="ListBullet"/>
        <w:spacing w:after="40"/>
      </w:pPr>
      <w:r>
        <w:rPr>
          <w:rFonts w:ascii="Arial" w:hAnsi="Arial"/>
          <w:sz w:val="18"/>
        </w:rPr>
        <w:t>Analytické závěry: logické vyhodnocení dopadů na základě parametrů záměru a zkušeností s logistickými areály.</w:t>
      </w:r>
    </w:p>
    <w:p>
      <w:pPr>
        <w:pStyle w:val="ListBullet"/>
        <w:spacing w:after="40"/>
      </w:pPr>
      <w:r>
        <w:rPr>
          <w:rFonts w:ascii="Arial" w:hAnsi="Arial"/>
          <w:sz w:val="18"/>
        </w:rPr>
        <w:t>Hypotézy k ověření: body, které mohou být významné, ale bez přístupu ke kompletní projektové dokumentaci a dopravním studiím je nelze uzavřít.</w:t>
      </w:r>
    </w:p>
    <w:p>
      <w:pPr>
        <w:spacing w:after="80"/>
      </w:pPr>
      <w:r>
        <w:rPr>
          <w:rFonts w:ascii="Arial" w:hAnsi="Arial"/>
          <w:b w:val="0"/>
          <w:i w:val="0"/>
          <w:sz w:val="18"/>
        </w:rPr>
        <w:t>Studie je orientována především na negativa a rizika záměru pro Boršov nad Vltavou. Pozitiva jsou zmíněna pouze tam, kde je to nutné pro férové vyhodnocení argumentace investora.</w:t>
      </w:r>
    </w:p>
    <w:p>
      <w:pPr>
        <w:pStyle w:val="Heading1"/>
      </w:pPr>
      <w:r>
        <w:t>3. Časová osa a legislativní rámec</w:t>
      </w:r>
    </w:p>
    <w:tbl>
      <w:tblPr>
        <w:tblStyle w:val="TableGrid"/>
        <w:tblW w:type="auto" w:w="0"/>
        <w:jc w:val="center"/>
        <w:tblLook w:firstColumn="1" w:firstRow="1" w:lastColumn="0" w:lastRow="0" w:noHBand="0" w:noVBand="1" w:val="04A0"/>
      </w:tblPr>
      <w:tblGrid>
        <w:gridCol w:w="4986"/>
        <w:gridCol w:w="4986"/>
      </w:tblGrid>
      <w:tr>
        <w:tc>
          <w:tcPr>
            <w:tcW w:type="dxa" w:w="4986"/>
            <w:shd w:fill="D9EAF7"/>
          </w:tcPr>
          <w:p>
            <w:r/>
            <w:r>
              <w:rPr>
                <w:rFonts w:ascii="Arial" w:hAnsi="Arial"/>
                <w:b/>
                <w:sz w:val="17"/>
              </w:rPr>
              <w:t>Období / datum</w:t>
            </w:r>
          </w:p>
        </w:tc>
        <w:tc>
          <w:tcPr>
            <w:tcW w:type="dxa" w:w="4986"/>
            <w:shd w:fill="D9EAF7"/>
          </w:tcPr>
          <w:p>
            <w:r/>
            <w:r>
              <w:rPr>
                <w:rFonts w:ascii="Arial" w:hAnsi="Arial"/>
                <w:b/>
                <w:sz w:val="17"/>
              </w:rPr>
              <w:t>Událost</w:t>
            </w:r>
          </w:p>
        </w:tc>
      </w:tr>
      <w:tr>
        <w:tc>
          <w:tcPr>
            <w:tcW w:type="dxa" w:w="4986"/>
            <w:vAlign w:val="top"/>
          </w:tcPr>
          <w:p>
            <w:r/>
            <w:r>
              <w:rPr>
                <w:rFonts w:ascii="Arial" w:hAnsi="Arial"/>
                <w:b w:val="0"/>
                <w:sz w:val="17"/>
              </w:rPr>
              <w:t>1990s / dlouhodobě</w:t>
            </w:r>
          </w:p>
        </w:tc>
        <w:tc>
          <w:tcPr>
            <w:tcW w:type="dxa" w:w="4986"/>
            <w:vAlign w:val="top"/>
          </w:tcPr>
          <w:p>
            <w:r/>
            <w:r>
              <w:rPr>
                <w:rFonts w:ascii="Arial" w:hAnsi="Arial"/>
                <w:b w:val="0"/>
                <w:sz w:val="17"/>
              </w:rPr>
              <w:t>Podle veřejné diskuse se v území počítá s průmyslovým a obchodním využitím již desítky let. [S2]</w:t>
            </w:r>
          </w:p>
        </w:tc>
      </w:tr>
      <w:tr>
        <w:tc>
          <w:tcPr>
            <w:tcW w:type="dxa" w:w="4986"/>
            <w:vAlign w:val="top"/>
          </w:tcPr>
          <w:p>
            <w:r/>
            <w:r>
              <w:rPr>
                <w:rFonts w:ascii="Arial" w:hAnsi="Arial"/>
                <w:b w:val="0"/>
                <w:sz w:val="17"/>
              </w:rPr>
              <w:t>13. 3. 2020</w:t>
            </w:r>
          </w:p>
        </w:tc>
        <w:tc>
          <w:tcPr>
            <w:tcW w:type="dxa" w:w="4986"/>
            <w:vAlign w:val="top"/>
          </w:tcPr>
          <w:p>
            <w:r/>
            <w:r>
              <w:rPr>
                <w:rFonts w:ascii="Arial" w:hAnsi="Arial"/>
                <w:b w:val="0"/>
                <w:sz w:val="17"/>
              </w:rPr>
              <w:t>Krajský úřad vydal závěr zjišťovacího řízení k záměru „Zóna ekonomického rozvoje Boršov“ s výsledkem, že nebude dále posuzován podle zákona EIA. [S4]</w:t>
            </w:r>
          </w:p>
        </w:tc>
      </w:tr>
      <w:tr>
        <w:tc>
          <w:tcPr>
            <w:tcW w:type="dxa" w:w="4986"/>
            <w:vAlign w:val="top"/>
          </w:tcPr>
          <w:p>
            <w:r/>
            <w:r>
              <w:rPr>
                <w:rFonts w:ascii="Arial" w:hAnsi="Arial"/>
                <w:b w:val="0"/>
                <w:sz w:val="17"/>
              </w:rPr>
              <w:t>15. 4. 2020</w:t>
            </w:r>
          </w:p>
        </w:tc>
        <w:tc>
          <w:tcPr>
            <w:tcW w:type="dxa" w:w="4986"/>
            <w:vAlign w:val="top"/>
          </w:tcPr>
          <w:p>
            <w:r/>
            <w:r>
              <w:rPr>
                <w:rFonts w:ascii="Arial" w:hAnsi="Arial"/>
                <w:b w:val="0"/>
                <w:sz w:val="17"/>
              </w:rPr>
              <w:t>Nabytí právní moci závěru zjišťovacího řízení k JHC926. [S4]</w:t>
            </w:r>
          </w:p>
        </w:tc>
      </w:tr>
      <w:tr>
        <w:tc>
          <w:tcPr>
            <w:tcW w:type="dxa" w:w="4986"/>
            <w:vAlign w:val="top"/>
          </w:tcPr>
          <w:p>
            <w:r/>
            <w:r>
              <w:rPr>
                <w:rFonts w:ascii="Arial" w:hAnsi="Arial"/>
                <w:b w:val="0"/>
                <w:sz w:val="17"/>
              </w:rPr>
              <w:t>2020</w:t>
            </w:r>
          </w:p>
        </w:tc>
        <w:tc>
          <w:tcPr>
            <w:tcW w:type="dxa" w:w="4986"/>
            <w:vAlign w:val="top"/>
          </w:tcPr>
          <w:p>
            <w:r/>
            <w:r>
              <w:rPr>
                <w:rFonts w:ascii="Arial" w:hAnsi="Arial"/>
                <w:b w:val="0"/>
                <w:sz w:val="17"/>
              </w:rPr>
              <w:t>Podle mediálních informací existuje územní rozhodnutí na čtyři haly; dvě z nich měly mít stavební povolení. [S2], [S3]</w:t>
            </w:r>
          </w:p>
        </w:tc>
      </w:tr>
      <w:tr>
        <w:tc>
          <w:tcPr>
            <w:tcW w:type="dxa" w:w="4986"/>
            <w:vAlign w:val="top"/>
          </w:tcPr>
          <w:p>
            <w:r/>
            <w:r>
              <w:rPr>
                <w:rFonts w:ascii="Arial" w:hAnsi="Arial"/>
                <w:b w:val="0"/>
                <w:sz w:val="17"/>
              </w:rPr>
              <w:t>2023</w:t>
            </w:r>
          </w:p>
        </w:tc>
        <w:tc>
          <w:tcPr>
            <w:tcW w:type="dxa" w:w="4986"/>
            <w:vAlign w:val="top"/>
          </w:tcPr>
          <w:p>
            <w:r/>
            <w:r>
              <w:rPr>
                <w:rFonts w:ascii="Arial" w:hAnsi="Arial"/>
                <w:b w:val="0"/>
                <w:sz w:val="17"/>
              </w:rPr>
              <w:t>Podle Accolade začal development GARBE Park České Budějovice v Boršově nad Vltavou. [S6]</w:t>
            </w:r>
          </w:p>
        </w:tc>
      </w:tr>
      <w:tr>
        <w:tc>
          <w:tcPr>
            <w:tcW w:type="dxa" w:w="4986"/>
            <w:vAlign w:val="top"/>
          </w:tcPr>
          <w:p>
            <w:r/>
            <w:r>
              <w:rPr>
                <w:rFonts w:ascii="Arial" w:hAnsi="Arial"/>
                <w:b w:val="0"/>
                <w:sz w:val="17"/>
              </w:rPr>
              <w:t>3. 4. 2024</w:t>
            </w:r>
          </w:p>
        </w:tc>
        <w:tc>
          <w:tcPr>
            <w:tcW w:type="dxa" w:w="4986"/>
            <w:vAlign w:val="top"/>
          </w:tcPr>
          <w:p>
            <w:r/>
            <w:r>
              <w:rPr>
                <w:rFonts w:ascii="Arial" w:hAnsi="Arial"/>
                <w:b w:val="0"/>
                <w:sz w:val="17"/>
              </w:rPr>
              <w:t>Zveřejnění oznámení záměru JHC1128 v systému EIA. [S5]</w:t>
            </w:r>
          </w:p>
        </w:tc>
      </w:tr>
      <w:tr>
        <w:tc>
          <w:tcPr>
            <w:tcW w:type="dxa" w:w="4986"/>
            <w:vAlign w:val="top"/>
          </w:tcPr>
          <w:p>
            <w:r/>
            <w:r>
              <w:rPr>
                <w:rFonts w:ascii="Arial" w:hAnsi="Arial"/>
                <w:b w:val="0"/>
                <w:sz w:val="17"/>
              </w:rPr>
              <w:t>24.–27. 5. 2024</w:t>
            </w:r>
          </w:p>
        </w:tc>
        <w:tc>
          <w:tcPr>
            <w:tcW w:type="dxa" w:w="4986"/>
            <w:vAlign w:val="top"/>
          </w:tcPr>
          <w:p>
            <w:r/>
            <w:r>
              <w:rPr>
                <w:rFonts w:ascii="Arial" w:hAnsi="Arial"/>
                <w:b w:val="0"/>
                <w:sz w:val="17"/>
              </w:rPr>
              <w:t>Závěr zjišťovacího řízení JHC1128: záměr nebude dále posuzován podle zákona. [S5]</w:t>
            </w:r>
          </w:p>
        </w:tc>
      </w:tr>
      <w:tr>
        <w:tc>
          <w:tcPr>
            <w:tcW w:type="dxa" w:w="4986"/>
            <w:vAlign w:val="top"/>
          </w:tcPr>
          <w:p>
            <w:r/>
            <w:r>
              <w:rPr>
                <w:rFonts w:ascii="Arial" w:hAnsi="Arial"/>
                <w:b w:val="0"/>
                <w:sz w:val="17"/>
              </w:rPr>
              <w:t>27. 6. 2024</w:t>
            </w:r>
          </w:p>
        </w:tc>
        <w:tc>
          <w:tcPr>
            <w:tcW w:type="dxa" w:w="4986"/>
            <w:vAlign w:val="top"/>
          </w:tcPr>
          <w:p>
            <w:r/>
            <w:r>
              <w:rPr>
                <w:rFonts w:ascii="Arial" w:hAnsi="Arial"/>
                <w:b w:val="0"/>
                <w:sz w:val="17"/>
              </w:rPr>
              <w:t>Nabytí právní moci závěru zjišťovacího řízení JHC1128. [S5]</w:t>
            </w:r>
          </w:p>
        </w:tc>
      </w:tr>
      <w:tr>
        <w:tc>
          <w:tcPr>
            <w:tcW w:type="dxa" w:w="4986"/>
            <w:vAlign w:val="top"/>
          </w:tcPr>
          <w:p>
            <w:r/>
            <w:r>
              <w:rPr>
                <w:rFonts w:ascii="Arial" w:hAnsi="Arial"/>
                <w:b w:val="0"/>
                <w:sz w:val="17"/>
              </w:rPr>
              <w:t>8. 7. 2025</w:t>
            </w:r>
          </w:p>
        </w:tc>
        <w:tc>
          <w:tcPr>
            <w:tcW w:type="dxa" w:w="4986"/>
            <w:vAlign w:val="top"/>
          </w:tcPr>
          <w:p>
            <w:r/>
            <w:r>
              <w:rPr>
                <w:rFonts w:ascii="Arial" w:hAnsi="Arial"/>
                <w:b w:val="0"/>
                <w:sz w:val="17"/>
              </w:rPr>
              <w:t>Accolade oznámila převzetí / vstup do GARBE Park České Budějovice; po dokončení má park činit cca 490 000 m2 a přes 230 000 m2 pronajímatelných ploch. [S6]</w:t>
            </w:r>
          </w:p>
        </w:tc>
      </w:tr>
      <w:tr>
        <w:tc>
          <w:tcPr>
            <w:tcW w:type="dxa" w:w="4986"/>
            <w:vAlign w:val="top"/>
          </w:tcPr>
          <w:p>
            <w:r/>
            <w:r>
              <w:rPr>
                <w:rFonts w:ascii="Arial" w:hAnsi="Arial"/>
                <w:b w:val="0"/>
                <w:sz w:val="17"/>
              </w:rPr>
              <w:t>Konec dubna 2026</w:t>
            </w:r>
          </w:p>
        </w:tc>
        <w:tc>
          <w:tcPr>
            <w:tcW w:type="dxa" w:w="4986"/>
            <w:vAlign w:val="top"/>
          </w:tcPr>
          <w:p>
            <w:r/>
            <w:r>
              <w:rPr>
                <w:rFonts w:ascii="Arial" w:hAnsi="Arial"/>
                <w:b w:val="0"/>
                <w:sz w:val="17"/>
              </w:rPr>
              <w:t>Starostka podle médií uvádí, že se obec s konkrétní podobou záměru seznámila na konci dubna 2026. [S1], [S2]</w:t>
            </w:r>
          </w:p>
        </w:tc>
      </w:tr>
      <w:tr>
        <w:tc>
          <w:tcPr>
            <w:tcW w:type="dxa" w:w="4986"/>
            <w:vAlign w:val="top"/>
          </w:tcPr>
          <w:p>
            <w:r/>
            <w:r>
              <w:rPr>
                <w:rFonts w:ascii="Arial" w:hAnsi="Arial"/>
                <w:b w:val="0"/>
                <w:sz w:val="17"/>
              </w:rPr>
              <w:t>16. 6. 2026</w:t>
            </w:r>
          </w:p>
        </w:tc>
        <w:tc>
          <w:tcPr>
            <w:tcW w:type="dxa" w:w="4986"/>
            <w:vAlign w:val="top"/>
          </w:tcPr>
          <w:p>
            <w:r/>
            <w:r>
              <w:rPr>
                <w:rFonts w:ascii="Arial" w:hAnsi="Arial"/>
                <w:b w:val="0"/>
                <w:sz w:val="17"/>
              </w:rPr>
              <w:t>Veřejné představení projektu v Homoli / Boršově; účast cca stovky lidí, téma dopravy, krajiny, kvality života a komunikace. [S2]</w:t>
            </w:r>
          </w:p>
        </w:tc>
      </w:tr>
      <w:tr>
        <w:tc>
          <w:tcPr>
            <w:tcW w:type="dxa" w:w="4986"/>
            <w:vAlign w:val="top"/>
          </w:tcPr>
          <w:p>
            <w:r/>
            <w:r>
              <w:rPr>
                <w:rFonts w:ascii="Arial" w:hAnsi="Arial"/>
                <w:b w:val="0"/>
                <w:sz w:val="17"/>
              </w:rPr>
              <w:t>17.–19. 6. 2026</w:t>
            </w:r>
          </w:p>
        </w:tc>
        <w:tc>
          <w:tcPr>
            <w:tcW w:type="dxa" w:w="4986"/>
            <w:vAlign w:val="top"/>
          </w:tcPr>
          <w:p>
            <w:r/>
            <w:r>
              <w:rPr>
                <w:rFonts w:ascii="Arial" w:hAnsi="Arial"/>
                <w:b w:val="0"/>
                <w:sz w:val="17"/>
              </w:rPr>
              <w:t>Mediální výstupy o záměru, šibeničních termínech, přípravě povolení a plánovaném dokončení ve druhé polovině roku 2028. [S1], [S3]</w:t>
            </w:r>
          </w:p>
        </w:tc>
      </w:tr>
      <w:tr>
        <w:tc>
          <w:tcPr>
            <w:tcW w:type="dxa" w:w="4986"/>
            <w:vAlign w:val="top"/>
          </w:tcPr>
          <w:p>
            <w:r/>
            <w:r>
              <w:rPr>
                <w:rFonts w:ascii="Arial" w:hAnsi="Arial"/>
                <w:b w:val="0"/>
                <w:sz w:val="17"/>
              </w:rPr>
              <w:t>2026</w:t>
            </w:r>
          </w:p>
        </w:tc>
        <w:tc>
          <w:tcPr>
            <w:tcW w:type="dxa" w:w="4986"/>
            <w:vAlign w:val="top"/>
          </w:tcPr>
          <w:p>
            <w:r/>
            <w:r>
              <w:rPr>
                <w:rFonts w:ascii="Arial" w:hAnsi="Arial"/>
                <w:b w:val="0"/>
                <w:sz w:val="17"/>
              </w:rPr>
              <w:t>Developerské firmy podle médií připravují podklady pro zažádání o povolení stavby a deklarují plán zahájit výstavbu ještě letos. [S1], [S3]</w:t>
            </w:r>
          </w:p>
        </w:tc>
      </w:tr>
      <w:tr>
        <w:tc>
          <w:tcPr>
            <w:tcW w:type="dxa" w:w="4986"/>
            <w:vAlign w:val="top"/>
          </w:tcPr>
          <w:p>
            <w:r/>
            <w:r>
              <w:rPr>
                <w:rFonts w:ascii="Arial" w:hAnsi="Arial"/>
                <w:b w:val="0"/>
                <w:sz w:val="17"/>
              </w:rPr>
              <w:t>2. polovina 2028</w:t>
            </w:r>
          </w:p>
        </w:tc>
        <w:tc>
          <w:tcPr>
            <w:tcW w:type="dxa" w:w="4986"/>
            <w:vAlign w:val="top"/>
          </w:tcPr>
          <w:p>
            <w:r/>
            <w:r>
              <w:rPr>
                <w:rFonts w:ascii="Arial" w:hAnsi="Arial"/>
                <w:b w:val="0"/>
                <w:sz w:val="17"/>
              </w:rPr>
              <w:t>Veřejně uváděný termín dokončení / otevření haly. [S1], [S3]</w:t>
            </w:r>
          </w:p>
        </w:tc>
      </w:tr>
    </w:tbl>
    <w:p>
      <w:pPr>
        <w:spacing w:after="80"/>
      </w:pPr>
      <w:r>
        <w:rPr>
          <w:rFonts w:ascii="Arial" w:hAnsi="Arial"/>
          <w:b w:val="0"/>
          <w:i w:val="0"/>
          <w:sz w:val="18"/>
        </w:rPr>
        <w:t>Legislativně je zásadní rozlišovat mezi:</w:t>
      </w:r>
    </w:p>
    <w:p>
      <w:pPr>
        <w:pStyle w:val="ListBullet"/>
        <w:spacing w:after="40"/>
      </w:pPr>
      <w:r>
        <w:rPr>
          <w:rFonts w:ascii="Arial" w:hAnsi="Arial"/>
          <w:sz w:val="18"/>
        </w:rPr>
        <w:t>historickým územním a povolovacím rámcem pro průmyslovou zónu,</w:t>
      </w:r>
    </w:p>
    <w:p>
      <w:pPr>
        <w:pStyle w:val="ListBullet"/>
        <w:spacing w:after="40"/>
      </w:pPr>
      <w:r>
        <w:rPr>
          <w:rFonts w:ascii="Arial" w:hAnsi="Arial"/>
          <w:sz w:val="18"/>
        </w:rPr>
        <w:t>závěry zjišťovacích řízení EIA, podle nichž původní záměry nepodléhaly dalšímu posuzování,</w:t>
      </w:r>
    </w:p>
    <w:p>
      <w:pPr>
        <w:pStyle w:val="ListBullet"/>
        <w:spacing w:after="40"/>
      </w:pPr>
      <w:r>
        <w:rPr>
          <w:rFonts w:ascii="Arial" w:hAnsi="Arial"/>
          <w:sz w:val="18"/>
        </w:rPr>
        <w:t>aktuální změnou obchodního a provozního konceptu směrem k jedné velké hale pro Amazon,</w:t>
      </w:r>
    </w:p>
    <w:p>
      <w:pPr>
        <w:pStyle w:val="ListBullet"/>
        <w:spacing w:after="40"/>
      </w:pPr>
      <w:r>
        <w:rPr>
          <w:rFonts w:ascii="Arial" w:hAnsi="Arial"/>
          <w:sz w:val="18"/>
        </w:rPr>
        <w:t>budoucím stavebním povolením / navazujícími řízeními pro konkrétní podobu stavby,</w:t>
      </w:r>
    </w:p>
    <w:p>
      <w:pPr>
        <w:pStyle w:val="ListBullet"/>
        <w:spacing w:after="40"/>
      </w:pPr>
      <w:r>
        <w:rPr>
          <w:rFonts w:ascii="Arial" w:hAnsi="Arial"/>
          <w:sz w:val="18"/>
        </w:rPr>
        <w:t>plánovací smlouvou mezi obcí a investorem, pokud bude sjednána a schválena zastupitelstvem.</w:t>
      </w:r>
    </w:p>
    <w:p>
      <w:pPr>
        <w:pStyle w:val="Heading1"/>
      </w:pPr>
      <w:r>
        <w:t>4. Potenciálně nestandardní nebo citlivé parametry záměru</w:t>
      </w:r>
    </w:p>
    <w:p>
      <w:pPr>
        <w:pStyle w:val="Heading2"/>
      </w:pPr>
      <w:r>
        <w:t>4.1 Krátký čas pro veřejnou reakci</w:t>
      </w:r>
    </w:p>
    <w:p>
      <w:pPr>
        <w:spacing w:after="80"/>
      </w:pPr>
      <w:r>
        <w:rPr>
          <w:rFonts w:ascii="Arial" w:hAnsi="Arial"/>
          <w:b w:val="0"/>
          <w:i w:val="0"/>
          <w:sz w:val="18"/>
        </w:rPr>
        <w:t>Média zachycují, že konkrétní podoba záměru se k obci a veřejnosti dostala velmi pozdě. Starostka uvádí seznámení na konci dubna 2026, veřejné představení proběhlo 16. června 2026 a investor zároveň plánuje zahájení výstavby ještě v roce 2026. To vytváří tlak na rychlé rozhodování a omezuje prostor pro nezávislé posouzení. [S1], [S2]</w:t>
      </w:r>
    </w:p>
    <w:p>
      <w:pPr>
        <w:pStyle w:val="Heading2"/>
      </w:pPr>
      <w:r>
        <w:t>4.2 Argument „rozjetého vlaku“</w:t>
      </w:r>
    </w:p>
    <w:p>
      <w:pPr>
        <w:spacing w:after="80"/>
      </w:pPr>
      <w:r>
        <w:rPr>
          <w:rFonts w:ascii="Arial" w:hAnsi="Arial"/>
          <w:b w:val="0"/>
          <w:i w:val="0"/>
          <w:sz w:val="18"/>
        </w:rPr>
        <w:t>Právní zástupce obce podle médií upozornil, že obec nenastupuje na začátku procesu, ale do již rozjetého vývoje s historickými povoleními. Tento stav snižuje vyjednávací pozici obce a může být veřejností vnímán jako předurčené rozhodnutí. [S2]</w:t>
      </w:r>
    </w:p>
    <w:p>
      <w:pPr>
        <w:pStyle w:val="Heading2"/>
      </w:pPr>
      <w:r>
        <w:t>4.3 Nahrazení čtyř hal jednou dominantní halou</w:t>
      </w:r>
    </w:p>
    <w:p>
      <w:pPr>
        <w:spacing w:after="80"/>
      </w:pPr>
      <w:r>
        <w:rPr>
          <w:rFonts w:ascii="Arial" w:hAnsi="Arial"/>
          <w:b w:val="0"/>
          <w:i w:val="0"/>
          <w:sz w:val="18"/>
        </w:rPr>
        <w:t>Investor argumentuje, že jedna hala s jedním nájemcem je předvídatelnější než čtyři samostatné haly. Z hlediska obyvatel však vzniká jiný typ rizika: jedna extrémně velká stavba, jeden silný globální nájemce, dlouhodobá provozní koncentrace a obtížnější etapizace dopadů. [S2]</w:t>
      </w:r>
    </w:p>
    <w:p>
      <w:pPr>
        <w:pStyle w:val="Heading2"/>
      </w:pPr>
      <w:r>
        <w:t>4.4 EIA bez dalšího posuzování</w:t>
      </w:r>
    </w:p>
    <w:p>
      <w:pPr>
        <w:spacing w:after="80"/>
      </w:pPr>
      <w:r>
        <w:rPr>
          <w:rFonts w:ascii="Arial" w:hAnsi="Arial"/>
          <w:b w:val="0"/>
          <w:i w:val="0"/>
          <w:sz w:val="18"/>
        </w:rPr>
        <w:t>Starší záměr JHC926 ani navazující JHC1128 nebyly dále posuzovány podle zákona EIA. To je zákonný výsledek zjišťovacího řízení, nikoli důkaz pochybení. Rizikem však je, zda kumulace vlivů a aktuální provozní model Amazonu odpovídají rozsahu původního posouzení. [S4], [S5]</w:t>
      </w:r>
    </w:p>
    <w:p>
      <w:pPr>
        <w:pStyle w:val="Heading2"/>
      </w:pPr>
      <w:r>
        <w:t>4.5 Kumulativní vlivy parku</w:t>
      </w:r>
    </w:p>
    <w:p>
      <w:pPr>
        <w:spacing w:after="80"/>
      </w:pPr>
      <w:r>
        <w:rPr>
          <w:rFonts w:ascii="Arial" w:hAnsi="Arial"/>
          <w:b w:val="0"/>
          <w:i w:val="0"/>
          <w:sz w:val="18"/>
        </w:rPr>
        <w:t>Accolade uvádí celkovou plochu parku cca 490 000 m2 a pronajímatelnou plochu přes 230 000 m2. Amazon proto nelze posuzovat izolovaně; dopady je nutné hodnotit v kontextu celého parku, existujících hal a dalších plánovaných staveb. [S6]</w:t>
      </w:r>
    </w:p>
    <w:p>
      <w:pPr>
        <w:pStyle w:val="Heading2"/>
      </w:pPr>
      <w:r>
        <w:t>4.6 Doprava jako závislost na cizích správcích</w:t>
      </w:r>
    </w:p>
    <w:p>
      <w:pPr>
        <w:spacing w:after="80"/>
      </w:pPr>
      <w:r>
        <w:rPr>
          <w:rFonts w:ascii="Arial" w:hAnsi="Arial"/>
          <w:b w:val="0"/>
          <w:i w:val="0"/>
          <w:sz w:val="18"/>
        </w:rPr>
        <w:t>Investor podle reportáže nemůže sám rozhodovat o podobě silnice I. třídy a zásahy závisí na ŘSD, dopravním inspektorátu a dalších orgánech. Pokud dopravní opatření nebudou závazně sjednána před povolením stavby, může obec nést důsledky bez reálné kontroly. [S2]</w:t>
      </w:r>
    </w:p>
    <w:p>
      <w:pPr>
        <w:pStyle w:val="Heading2"/>
      </w:pPr>
      <w:r>
        <w:t>4.7 Plánovací smlouva jako klíčový dokument</w:t>
      </w:r>
    </w:p>
    <w:p>
      <w:pPr>
        <w:spacing w:after="80"/>
      </w:pPr>
      <w:r>
        <w:rPr>
          <w:rFonts w:ascii="Arial" w:hAnsi="Arial"/>
          <w:b w:val="0"/>
          <w:i w:val="0"/>
          <w:sz w:val="18"/>
        </w:rPr>
        <w:t>Pokud bude plánovací smlouva schvalována zastupitelstvem až v pokročilé fázi, musí obsahovat měřitelné, vymáhatelné a sankcionovatelné závazky, nikoli pouze obecné přísliby. [S3]</w:t>
      </w:r>
    </w:p>
    <w:p>
      <w:pPr>
        <w:pStyle w:val="Heading1"/>
      </w:pPr>
      <w:r>
        <w:t>5. Riziková matice pro obyvatele Boršova</w:t>
      </w:r>
    </w:p>
    <w:tbl>
      <w:tblPr>
        <w:tblStyle w:val="TableGrid"/>
        <w:tblW w:type="auto" w:w="0"/>
        <w:jc w:val="center"/>
        <w:tblLook w:firstColumn="1" w:firstRow="1" w:lastColumn="0" w:lastRow="0" w:noHBand="0" w:noVBand="1" w:val="04A0"/>
      </w:tblPr>
      <w:tblGrid>
        <w:gridCol w:w="2493"/>
        <w:gridCol w:w="2493"/>
        <w:gridCol w:w="2493"/>
        <w:gridCol w:w="2493"/>
      </w:tblGrid>
      <w:tr>
        <w:tc>
          <w:tcPr>
            <w:tcW w:type="dxa" w:w="2493"/>
            <w:shd w:fill="D9EAF7"/>
          </w:tcPr>
          <w:p>
            <w:r/>
            <w:r>
              <w:rPr>
                <w:rFonts w:ascii="Arial" w:hAnsi="Arial"/>
                <w:b/>
                <w:sz w:val="17"/>
              </w:rPr>
              <w:t>Riziko</w:t>
            </w:r>
          </w:p>
        </w:tc>
        <w:tc>
          <w:tcPr>
            <w:tcW w:type="dxa" w:w="2493"/>
            <w:shd w:fill="D9EAF7"/>
          </w:tcPr>
          <w:p>
            <w:r/>
            <w:r>
              <w:rPr>
                <w:rFonts w:ascii="Arial" w:hAnsi="Arial"/>
                <w:b/>
                <w:sz w:val="17"/>
              </w:rPr>
              <w:t>Pravděpodobnost</w:t>
            </w:r>
          </w:p>
        </w:tc>
        <w:tc>
          <w:tcPr>
            <w:tcW w:type="dxa" w:w="2493"/>
            <w:shd w:fill="D9EAF7"/>
          </w:tcPr>
          <w:p>
            <w:r/>
            <w:r>
              <w:rPr>
                <w:rFonts w:ascii="Arial" w:hAnsi="Arial"/>
                <w:b/>
                <w:sz w:val="17"/>
              </w:rPr>
              <w:t>Dopad</w:t>
            </w:r>
          </w:p>
        </w:tc>
        <w:tc>
          <w:tcPr>
            <w:tcW w:type="dxa" w:w="2493"/>
            <w:shd w:fill="D9EAF7"/>
          </w:tcPr>
          <w:p>
            <w:r/>
            <w:r>
              <w:rPr>
                <w:rFonts w:ascii="Arial" w:hAnsi="Arial"/>
                <w:b/>
                <w:sz w:val="17"/>
              </w:rPr>
              <w:t>Komentář</w:t>
            </w:r>
          </w:p>
        </w:tc>
      </w:tr>
      <w:tr>
        <w:tc>
          <w:tcPr>
            <w:tcW w:type="dxa" w:w="2493"/>
            <w:vAlign w:val="top"/>
          </w:tcPr>
          <w:p>
            <w:r/>
            <w:r>
              <w:rPr>
                <w:rFonts w:ascii="Arial" w:hAnsi="Arial"/>
                <w:b w:val="0"/>
                <w:sz w:val="17"/>
              </w:rPr>
              <w:t>Doprava</w:t>
            </w:r>
          </w:p>
        </w:tc>
        <w:tc>
          <w:tcPr>
            <w:tcW w:type="dxa" w:w="2493"/>
            <w:vAlign w:val="top"/>
          </w:tcPr>
          <w:p>
            <w:r/>
            <w:r>
              <w:rPr>
                <w:rFonts w:ascii="Arial" w:hAnsi="Arial"/>
                <w:b w:val="0"/>
                <w:sz w:val="17"/>
              </w:rPr>
              <w:t>Velmi vysoká</w:t>
            </w:r>
          </w:p>
        </w:tc>
        <w:tc>
          <w:tcPr>
            <w:tcW w:type="dxa" w:w="2493"/>
            <w:vAlign w:val="top"/>
          </w:tcPr>
          <w:p>
            <w:r/>
            <w:r>
              <w:rPr>
                <w:rFonts w:ascii="Arial" w:hAnsi="Arial"/>
                <w:b w:val="0"/>
                <w:sz w:val="17"/>
              </w:rPr>
              <w:t>Velmi vysoký</w:t>
            </w:r>
          </w:p>
        </w:tc>
        <w:tc>
          <w:tcPr>
            <w:tcW w:type="dxa" w:w="2493"/>
            <w:vAlign w:val="top"/>
          </w:tcPr>
          <w:p>
            <w:r/>
            <w:r>
              <w:rPr>
                <w:rFonts w:ascii="Arial" w:hAnsi="Arial"/>
                <w:b w:val="0"/>
                <w:sz w:val="17"/>
              </w:rPr>
              <w:t>Stovky nákladních a osobních vozidel denně, závislost na I/3/D3, riziko kolon, objížděk, směnových špiček a krizových stavů.</w:t>
            </w:r>
          </w:p>
        </w:tc>
      </w:tr>
      <w:tr>
        <w:tc>
          <w:tcPr>
            <w:tcW w:type="dxa" w:w="2493"/>
            <w:vAlign w:val="top"/>
          </w:tcPr>
          <w:p>
            <w:r/>
            <w:r>
              <w:rPr>
                <w:rFonts w:ascii="Arial" w:hAnsi="Arial"/>
                <w:b w:val="0"/>
                <w:sz w:val="17"/>
              </w:rPr>
              <w:t>Hluk</w:t>
            </w:r>
          </w:p>
        </w:tc>
        <w:tc>
          <w:tcPr>
            <w:tcW w:type="dxa" w:w="2493"/>
            <w:vAlign w:val="top"/>
          </w:tcPr>
          <w:p>
            <w:r/>
            <w:r>
              <w:rPr>
                <w:rFonts w:ascii="Arial" w:hAnsi="Arial"/>
                <w:b w:val="0"/>
                <w:sz w:val="17"/>
              </w:rPr>
              <w:t>Vysoká</w:t>
            </w:r>
          </w:p>
        </w:tc>
        <w:tc>
          <w:tcPr>
            <w:tcW w:type="dxa" w:w="2493"/>
            <w:vAlign w:val="top"/>
          </w:tcPr>
          <w:p>
            <w:r/>
            <w:r>
              <w:rPr>
                <w:rFonts w:ascii="Arial" w:hAnsi="Arial"/>
                <w:b w:val="0"/>
                <w:sz w:val="17"/>
              </w:rPr>
              <w:t>Střední až vysoký</w:t>
            </w:r>
          </w:p>
        </w:tc>
        <w:tc>
          <w:tcPr>
            <w:tcW w:type="dxa" w:w="2493"/>
            <w:vAlign w:val="top"/>
          </w:tcPr>
          <w:p>
            <w:r/>
            <w:r>
              <w:rPr>
                <w:rFonts w:ascii="Arial" w:hAnsi="Arial"/>
                <w:b w:val="0"/>
                <w:sz w:val="17"/>
              </w:rPr>
              <w:t>Nakládka, couvání, provoz ramp, VZT, noční směna do 4:30, dopravní hluk.</w:t>
            </w:r>
          </w:p>
        </w:tc>
      </w:tr>
      <w:tr>
        <w:tc>
          <w:tcPr>
            <w:tcW w:type="dxa" w:w="2493"/>
            <w:vAlign w:val="top"/>
          </w:tcPr>
          <w:p>
            <w:r/>
            <w:r>
              <w:rPr>
                <w:rFonts w:ascii="Arial" w:hAnsi="Arial"/>
                <w:b w:val="0"/>
                <w:sz w:val="17"/>
              </w:rPr>
              <w:t>Světelné znečištění</w:t>
            </w:r>
          </w:p>
        </w:tc>
        <w:tc>
          <w:tcPr>
            <w:tcW w:type="dxa" w:w="2493"/>
            <w:vAlign w:val="top"/>
          </w:tcPr>
          <w:p>
            <w:r/>
            <w:r>
              <w:rPr>
                <w:rFonts w:ascii="Arial" w:hAnsi="Arial"/>
                <w:b w:val="0"/>
                <w:sz w:val="17"/>
              </w:rPr>
              <w:t>Vysoká</w:t>
            </w:r>
          </w:p>
        </w:tc>
        <w:tc>
          <w:tcPr>
            <w:tcW w:type="dxa" w:w="2493"/>
            <w:vAlign w:val="top"/>
          </w:tcPr>
          <w:p>
            <w:r/>
            <w:r>
              <w:rPr>
                <w:rFonts w:ascii="Arial" w:hAnsi="Arial"/>
                <w:b w:val="0"/>
                <w:sz w:val="17"/>
              </w:rPr>
              <w:t>Střední</w:t>
            </w:r>
          </w:p>
        </w:tc>
        <w:tc>
          <w:tcPr>
            <w:tcW w:type="dxa" w:w="2493"/>
            <w:vAlign w:val="top"/>
          </w:tcPr>
          <w:p>
            <w:r/>
            <w:r>
              <w:rPr>
                <w:rFonts w:ascii="Arial" w:hAnsi="Arial"/>
                <w:b w:val="0"/>
                <w:sz w:val="17"/>
              </w:rPr>
              <w:t>Nepřetržitý provoz a osvětlení areálu, dopad na noční krajinu a obytnou pohodu.</w:t>
            </w:r>
          </w:p>
        </w:tc>
      </w:tr>
      <w:tr>
        <w:tc>
          <w:tcPr>
            <w:tcW w:type="dxa" w:w="2493"/>
            <w:vAlign w:val="top"/>
          </w:tcPr>
          <w:p>
            <w:r/>
            <w:r>
              <w:rPr>
                <w:rFonts w:ascii="Arial" w:hAnsi="Arial"/>
                <w:b w:val="0"/>
                <w:sz w:val="17"/>
              </w:rPr>
              <w:t>Krajinný ráz</w:t>
            </w:r>
          </w:p>
        </w:tc>
        <w:tc>
          <w:tcPr>
            <w:tcW w:type="dxa" w:w="2493"/>
            <w:vAlign w:val="top"/>
          </w:tcPr>
          <w:p>
            <w:r/>
            <w:r>
              <w:rPr>
                <w:rFonts w:ascii="Arial" w:hAnsi="Arial"/>
                <w:b w:val="0"/>
                <w:sz w:val="17"/>
              </w:rPr>
              <w:t>Jistá</w:t>
            </w:r>
          </w:p>
        </w:tc>
        <w:tc>
          <w:tcPr>
            <w:tcW w:type="dxa" w:w="2493"/>
            <w:vAlign w:val="top"/>
          </w:tcPr>
          <w:p>
            <w:r/>
            <w:r>
              <w:rPr>
                <w:rFonts w:ascii="Arial" w:hAnsi="Arial"/>
                <w:b w:val="0"/>
                <w:sz w:val="17"/>
              </w:rPr>
              <w:t>Vysoký</w:t>
            </w:r>
          </w:p>
        </w:tc>
        <w:tc>
          <w:tcPr>
            <w:tcW w:type="dxa" w:w="2493"/>
            <w:vAlign w:val="top"/>
          </w:tcPr>
          <w:p>
            <w:r/>
            <w:r>
              <w:rPr>
                <w:rFonts w:ascii="Arial" w:hAnsi="Arial"/>
                <w:b w:val="0"/>
                <w:sz w:val="17"/>
              </w:rPr>
              <w:t>Hala téměř 500 m dlouhá a přes 15/16 m vysoká změní měřítko území.</w:t>
            </w:r>
          </w:p>
        </w:tc>
      </w:tr>
      <w:tr>
        <w:tc>
          <w:tcPr>
            <w:tcW w:type="dxa" w:w="2493"/>
            <w:vAlign w:val="top"/>
          </w:tcPr>
          <w:p>
            <w:r/>
            <w:r>
              <w:rPr>
                <w:rFonts w:ascii="Arial" w:hAnsi="Arial"/>
                <w:b w:val="0"/>
                <w:sz w:val="17"/>
              </w:rPr>
              <w:t>Ovzduší a prašnost</w:t>
            </w:r>
          </w:p>
        </w:tc>
        <w:tc>
          <w:tcPr>
            <w:tcW w:type="dxa" w:w="2493"/>
            <w:vAlign w:val="top"/>
          </w:tcPr>
          <w:p>
            <w:r/>
            <w:r>
              <w:rPr>
                <w:rFonts w:ascii="Arial" w:hAnsi="Arial"/>
                <w:b w:val="0"/>
                <w:sz w:val="17"/>
              </w:rPr>
              <w:t>Střední</w:t>
            </w:r>
          </w:p>
        </w:tc>
        <w:tc>
          <w:tcPr>
            <w:tcW w:type="dxa" w:w="2493"/>
            <w:vAlign w:val="top"/>
          </w:tcPr>
          <w:p>
            <w:r/>
            <w:r>
              <w:rPr>
                <w:rFonts w:ascii="Arial" w:hAnsi="Arial"/>
                <w:b w:val="0"/>
                <w:sz w:val="17"/>
              </w:rPr>
              <w:t>Střední</w:t>
            </w:r>
          </w:p>
        </w:tc>
        <w:tc>
          <w:tcPr>
            <w:tcW w:type="dxa" w:w="2493"/>
            <w:vAlign w:val="top"/>
          </w:tcPr>
          <w:p>
            <w:r/>
            <w:r>
              <w:rPr>
                <w:rFonts w:ascii="Arial" w:hAnsi="Arial"/>
                <w:b w:val="0"/>
                <w:sz w:val="17"/>
              </w:rPr>
              <w:t>Nárůst dopravy, dieselové motory, sekundární prašnost, kumulace s existujícím provozem.</w:t>
            </w:r>
          </w:p>
        </w:tc>
      </w:tr>
      <w:tr>
        <w:tc>
          <w:tcPr>
            <w:tcW w:type="dxa" w:w="2493"/>
            <w:vAlign w:val="top"/>
          </w:tcPr>
          <w:p>
            <w:r/>
            <w:r>
              <w:rPr>
                <w:rFonts w:ascii="Arial" w:hAnsi="Arial"/>
                <w:b w:val="0"/>
                <w:sz w:val="17"/>
              </w:rPr>
              <w:t>Bezpečnost pěších a cyklistů</w:t>
            </w:r>
          </w:p>
        </w:tc>
        <w:tc>
          <w:tcPr>
            <w:tcW w:type="dxa" w:w="2493"/>
            <w:vAlign w:val="top"/>
          </w:tcPr>
          <w:p>
            <w:r/>
            <w:r>
              <w:rPr>
                <w:rFonts w:ascii="Arial" w:hAnsi="Arial"/>
                <w:b w:val="0"/>
                <w:sz w:val="17"/>
              </w:rPr>
              <w:t>Střední až vysoká</w:t>
            </w:r>
          </w:p>
        </w:tc>
        <w:tc>
          <w:tcPr>
            <w:tcW w:type="dxa" w:w="2493"/>
            <w:vAlign w:val="top"/>
          </w:tcPr>
          <w:p>
            <w:r/>
            <w:r>
              <w:rPr>
                <w:rFonts w:ascii="Arial" w:hAnsi="Arial"/>
                <w:b w:val="0"/>
                <w:sz w:val="17"/>
              </w:rPr>
              <w:t>Střední</w:t>
            </w:r>
          </w:p>
        </w:tc>
        <w:tc>
          <w:tcPr>
            <w:tcW w:type="dxa" w:w="2493"/>
            <w:vAlign w:val="top"/>
          </w:tcPr>
          <w:p>
            <w:r/>
            <w:r>
              <w:rPr>
                <w:rFonts w:ascii="Arial" w:hAnsi="Arial"/>
                <w:b w:val="0"/>
                <w:sz w:val="17"/>
              </w:rPr>
              <w:t>Více těžké dopravy a zaměstnaneckých aut v prostoru, který je využíván obyvateli a dojíždějícími.</w:t>
            </w:r>
          </w:p>
        </w:tc>
      </w:tr>
      <w:tr>
        <w:tc>
          <w:tcPr>
            <w:tcW w:type="dxa" w:w="2493"/>
            <w:vAlign w:val="top"/>
          </w:tcPr>
          <w:p>
            <w:r/>
            <w:r>
              <w:rPr>
                <w:rFonts w:ascii="Arial" w:hAnsi="Arial"/>
                <w:b w:val="0"/>
                <w:sz w:val="17"/>
              </w:rPr>
              <w:t>Sociální dopady a bydlení</w:t>
            </w:r>
          </w:p>
        </w:tc>
        <w:tc>
          <w:tcPr>
            <w:tcW w:type="dxa" w:w="2493"/>
            <w:vAlign w:val="top"/>
          </w:tcPr>
          <w:p>
            <w:r/>
            <w:r>
              <w:rPr>
                <w:rFonts w:ascii="Arial" w:hAnsi="Arial"/>
                <w:b w:val="0"/>
                <w:sz w:val="17"/>
              </w:rPr>
              <w:t>Střední</w:t>
            </w:r>
          </w:p>
        </w:tc>
        <w:tc>
          <w:tcPr>
            <w:tcW w:type="dxa" w:w="2493"/>
            <w:vAlign w:val="top"/>
          </w:tcPr>
          <w:p>
            <w:r/>
            <w:r>
              <w:rPr>
                <w:rFonts w:ascii="Arial" w:hAnsi="Arial"/>
                <w:b w:val="0"/>
                <w:sz w:val="17"/>
              </w:rPr>
              <w:t>Střední</w:t>
            </w:r>
          </w:p>
        </w:tc>
        <w:tc>
          <w:tcPr>
            <w:tcW w:type="dxa" w:w="2493"/>
            <w:vAlign w:val="top"/>
          </w:tcPr>
          <w:p>
            <w:r/>
            <w:r>
              <w:rPr>
                <w:rFonts w:ascii="Arial" w:hAnsi="Arial"/>
                <w:b w:val="0"/>
                <w:sz w:val="17"/>
              </w:rPr>
              <w:t>Možný tlak na nájmy, ubytování pracovníků, služby a veřejnou infrastrukturu.</w:t>
            </w:r>
          </w:p>
        </w:tc>
      </w:tr>
      <w:tr>
        <w:tc>
          <w:tcPr>
            <w:tcW w:type="dxa" w:w="2493"/>
            <w:vAlign w:val="top"/>
          </w:tcPr>
          <w:p>
            <w:r/>
            <w:r>
              <w:rPr>
                <w:rFonts w:ascii="Arial" w:hAnsi="Arial"/>
                <w:b w:val="0"/>
                <w:sz w:val="17"/>
              </w:rPr>
              <w:t>Trh práce</w:t>
            </w:r>
          </w:p>
        </w:tc>
        <w:tc>
          <w:tcPr>
            <w:tcW w:type="dxa" w:w="2493"/>
            <w:vAlign w:val="top"/>
          </w:tcPr>
          <w:p>
            <w:r/>
            <w:r>
              <w:rPr>
                <w:rFonts w:ascii="Arial" w:hAnsi="Arial"/>
                <w:b w:val="0"/>
                <w:sz w:val="17"/>
              </w:rPr>
              <w:t>Vysoká</w:t>
            </w:r>
          </w:p>
        </w:tc>
        <w:tc>
          <w:tcPr>
            <w:tcW w:type="dxa" w:w="2493"/>
            <w:vAlign w:val="top"/>
          </w:tcPr>
          <w:p>
            <w:r/>
            <w:r>
              <w:rPr>
                <w:rFonts w:ascii="Arial" w:hAnsi="Arial"/>
                <w:b w:val="0"/>
                <w:sz w:val="17"/>
              </w:rPr>
              <w:t>Střední</w:t>
            </w:r>
          </w:p>
        </w:tc>
        <w:tc>
          <w:tcPr>
            <w:tcW w:type="dxa" w:w="2493"/>
            <w:vAlign w:val="top"/>
          </w:tcPr>
          <w:p>
            <w:r/>
            <w:r>
              <w:rPr>
                <w:rFonts w:ascii="Arial" w:hAnsi="Arial"/>
                <w:b w:val="0"/>
                <w:sz w:val="17"/>
              </w:rPr>
              <w:t>Přetahování zaměstnanců od regionálních firem, tlak na mzdy a dostupnost pracovní síly.</w:t>
            </w:r>
          </w:p>
        </w:tc>
      </w:tr>
      <w:tr>
        <w:tc>
          <w:tcPr>
            <w:tcW w:type="dxa" w:w="2493"/>
            <w:vAlign w:val="top"/>
          </w:tcPr>
          <w:p>
            <w:r/>
            <w:r>
              <w:rPr>
                <w:rFonts w:ascii="Arial" w:hAnsi="Arial"/>
                <w:b w:val="0"/>
                <w:sz w:val="17"/>
              </w:rPr>
              <w:t>Budoucí další industrializace</w:t>
            </w:r>
          </w:p>
        </w:tc>
        <w:tc>
          <w:tcPr>
            <w:tcW w:type="dxa" w:w="2493"/>
            <w:vAlign w:val="top"/>
          </w:tcPr>
          <w:p>
            <w:r/>
            <w:r>
              <w:rPr>
                <w:rFonts w:ascii="Arial" w:hAnsi="Arial"/>
                <w:b w:val="0"/>
                <w:sz w:val="17"/>
              </w:rPr>
              <w:t>Vysoká</w:t>
            </w:r>
          </w:p>
        </w:tc>
        <w:tc>
          <w:tcPr>
            <w:tcW w:type="dxa" w:w="2493"/>
            <w:vAlign w:val="top"/>
          </w:tcPr>
          <w:p>
            <w:r/>
            <w:r>
              <w:rPr>
                <w:rFonts w:ascii="Arial" w:hAnsi="Arial"/>
                <w:b w:val="0"/>
                <w:sz w:val="17"/>
              </w:rPr>
              <w:t>Vysoký</w:t>
            </w:r>
          </w:p>
        </w:tc>
        <w:tc>
          <w:tcPr>
            <w:tcW w:type="dxa" w:w="2493"/>
            <w:vAlign w:val="top"/>
          </w:tcPr>
          <w:p>
            <w:r/>
            <w:r>
              <w:rPr>
                <w:rFonts w:ascii="Arial" w:hAnsi="Arial"/>
                <w:b w:val="0"/>
                <w:sz w:val="17"/>
              </w:rPr>
              <w:t>Amazon může urychlit rozvoj dalších objektů a posunout charakter území.</w:t>
            </w:r>
          </w:p>
        </w:tc>
      </w:tr>
      <w:tr>
        <w:tc>
          <w:tcPr>
            <w:tcW w:type="dxa" w:w="2493"/>
            <w:vAlign w:val="top"/>
          </w:tcPr>
          <w:p>
            <w:r/>
            <w:r>
              <w:rPr>
                <w:rFonts w:ascii="Arial" w:hAnsi="Arial"/>
                <w:b w:val="0"/>
                <w:sz w:val="17"/>
              </w:rPr>
              <w:t>Ztráta důvěry veřejnosti</w:t>
            </w:r>
          </w:p>
        </w:tc>
        <w:tc>
          <w:tcPr>
            <w:tcW w:type="dxa" w:w="2493"/>
            <w:vAlign w:val="top"/>
          </w:tcPr>
          <w:p>
            <w:r/>
            <w:r>
              <w:rPr>
                <w:rFonts w:ascii="Arial" w:hAnsi="Arial"/>
                <w:b w:val="0"/>
                <w:sz w:val="17"/>
              </w:rPr>
              <w:t>Vysoká</w:t>
            </w:r>
          </w:p>
        </w:tc>
        <w:tc>
          <w:tcPr>
            <w:tcW w:type="dxa" w:w="2493"/>
            <w:vAlign w:val="top"/>
          </w:tcPr>
          <w:p>
            <w:r/>
            <w:r>
              <w:rPr>
                <w:rFonts w:ascii="Arial" w:hAnsi="Arial"/>
                <w:b w:val="0"/>
                <w:sz w:val="17"/>
              </w:rPr>
              <w:t>Vysoký</w:t>
            </w:r>
          </w:p>
        </w:tc>
        <w:tc>
          <w:tcPr>
            <w:tcW w:type="dxa" w:w="2493"/>
            <w:vAlign w:val="top"/>
          </w:tcPr>
          <w:p>
            <w:r/>
            <w:r>
              <w:rPr>
                <w:rFonts w:ascii="Arial" w:hAnsi="Arial"/>
                <w:b w:val="0"/>
                <w:sz w:val="17"/>
              </w:rPr>
              <w:t>Pozdní komunikace, krátké termíny a historické povolení mohou vést k pocitu, že veřejnost nerozhoduje.</w:t>
            </w:r>
          </w:p>
        </w:tc>
      </w:tr>
    </w:tbl>
    <w:p>
      <w:pPr>
        <w:pStyle w:val="Heading2"/>
      </w:pPr>
      <w:r>
        <w:t>5.1 Doprava jako hlavní materiální riziko</w:t>
      </w:r>
    </w:p>
    <w:p>
      <w:pPr>
        <w:spacing w:after="80"/>
      </w:pPr>
      <w:r>
        <w:rPr>
          <w:rFonts w:ascii="Arial" w:hAnsi="Arial"/>
          <w:b w:val="0"/>
          <w:i w:val="0"/>
          <w:sz w:val="18"/>
        </w:rPr>
        <w:t>Doprava je největší reálné riziko pro každodenní život obyvatel. Podle veřejné prezentace má do areálu směřovat 277 nákladních vozidel denně, desítky autobusů a necelá pětistovka osobních aut. I kdyby tato čísla byla v praxi rozložena do celého dne, jde o významné navýšení zátěže v území, kde již dnes obyvatelé upozorňují na kolony a omezenou kapacitu křižovatek. [S2]</w:t>
      </w:r>
    </w:p>
    <w:p>
      <w:pPr>
        <w:spacing w:after="80"/>
      </w:pPr>
      <w:r>
        <w:rPr>
          <w:rFonts w:ascii="Arial" w:hAnsi="Arial"/>
          <w:b w:val="0"/>
          <w:i w:val="0"/>
          <w:sz w:val="18"/>
        </w:rPr>
        <w:t>Z hlediska obce je nebezpečné spoléhat pouze na to, že směny Amazonu budou mimo hlavní dopravní špičky. Dopravní systém se musí hodnotit nejen za normálního provozu, ale také při nehodách, uzavírkách, sezonních špičkách, nárazových logistických kampaních a ve vánoční sezoně.</w:t>
      </w:r>
    </w:p>
    <w:p>
      <w:pPr>
        <w:pStyle w:val="Heading2"/>
      </w:pPr>
      <w:r>
        <w:t>5.2 Hluk a noční režim</w:t>
      </w:r>
    </w:p>
    <w:p>
      <w:pPr>
        <w:spacing w:after="80"/>
      </w:pPr>
      <w:r>
        <w:rPr>
          <w:rFonts w:ascii="Arial" w:hAnsi="Arial"/>
          <w:b w:val="0"/>
          <w:i w:val="0"/>
          <w:sz w:val="18"/>
        </w:rPr>
        <w:t>Veřejně uváděné směny 6:30–17:00 a 18:00–4:30 znamenají provoz hluboko do noci. Pro obyvatele proto není rozhodující pouze splnění hygienických limitů na hranici areálu, ale také charakter hluku: couvání vozidel, brzdění, nárazy na rampách, ventilátory, VZT, manipulační technika a akustické špičky. Hluková studie by měla pracovat s reálným provozním režimem a zvlášť posoudit noční dobu.</w:t>
      </w:r>
    </w:p>
    <w:p>
      <w:pPr>
        <w:pStyle w:val="Heading2"/>
      </w:pPr>
      <w:r>
        <w:t>5.3 Světelný smog</w:t>
      </w:r>
    </w:p>
    <w:p>
      <w:pPr>
        <w:spacing w:after="80"/>
      </w:pPr>
      <w:r>
        <w:rPr>
          <w:rFonts w:ascii="Arial" w:hAnsi="Arial"/>
          <w:b w:val="0"/>
          <w:i w:val="0"/>
          <w:sz w:val="18"/>
        </w:rPr>
        <w:t>Logistické areály bývají osvětleny z bezpečnostních důvodů po celou noc. I moderní směrová svítidla mohou při špatném návrhu vytvářet světelnou záři, která mění charakter krajiny a ruší obyvatele. Podmínkou by měl být světelně-technický projekt s limity intenzity, teploty chromatičnosti, směrování a režimu nočního tlumení.</w:t>
      </w:r>
    </w:p>
    <w:p>
      <w:pPr>
        <w:pStyle w:val="Heading2"/>
      </w:pPr>
      <w:r>
        <w:t>5.4 Krajinný ráz a vztah k Vltavě</w:t>
      </w:r>
    </w:p>
    <w:p>
      <w:pPr>
        <w:spacing w:after="80"/>
      </w:pPr>
      <w:r>
        <w:rPr>
          <w:rFonts w:ascii="Arial" w:hAnsi="Arial"/>
          <w:b w:val="0"/>
          <w:i w:val="0"/>
          <w:sz w:val="18"/>
        </w:rPr>
        <w:t>Na veřejném setkání lidé opakovaně řešili zásah do krajiny u Vltavy, klidová území, procházkové trasy a výskyt živočichů. Hala o délce téměř půl kilometru má jiný dopad než běžná průmyslová budova. I pokud investor nabídne zeleň, zelené střechy a fasády, samotné měřítko objektu může snížit kvalitu každodenního užívání krajiny. [S2]</w:t>
      </w:r>
    </w:p>
    <w:p>
      <w:pPr>
        <w:pStyle w:val="Heading2"/>
      </w:pPr>
      <w:r>
        <w:t>5.5 Ovzduší, emise a prašnost</w:t>
      </w:r>
    </w:p>
    <w:p>
      <w:pPr>
        <w:spacing w:after="80"/>
      </w:pPr>
      <w:r>
        <w:rPr>
          <w:rFonts w:ascii="Arial" w:hAnsi="Arial"/>
          <w:b w:val="0"/>
          <w:i w:val="0"/>
          <w:sz w:val="18"/>
        </w:rPr>
        <w:t>Samotná logistická hala nemusí být významným stacionárním zdrojem emisí. Klíčovým zdrojem však bude doprava. Hodnocení by mělo zahrnout NOx, PM10, PM2,5, benzo[a]pyren, sekundární prašnost z komunikací a kumulaci s dopravou na I/3 a v širším areálu parku. Nestačí hodnotit pouze průměrné roční hodnoty; pro obyvatele jsou významné i krátkodobé špičky.</w:t>
      </w:r>
    </w:p>
    <w:p>
      <w:pPr>
        <w:pStyle w:val="Heading2"/>
      </w:pPr>
      <w:r>
        <w:t>5.6 Sociální dopady</w:t>
      </w:r>
    </w:p>
    <w:p>
      <w:pPr>
        <w:spacing w:after="80"/>
      </w:pPr>
      <w:r>
        <w:rPr>
          <w:rFonts w:ascii="Arial" w:hAnsi="Arial"/>
          <w:b w:val="0"/>
          <w:i w:val="0"/>
          <w:sz w:val="18"/>
        </w:rPr>
        <w:t>Projekt s cca 1 700 pracovními místy může změnit strukturu pohybu lidí v obci a okolí. Obec uvádí, že s ubytovnami nepočítá, ale samotné vyloučení jedné formy ubytování neřeší tlak na nájmy, dopravu, veřejné služby a každodenní provoz v okolí. [S1], [S3]</w:t>
      </w:r>
    </w:p>
    <w:p>
      <w:pPr>
        <w:pStyle w:val="Heading2"/>
      </w:pPr>
      <w:r>
        <w:t>5.7 Trh práce a dopady na místní podniky</w:t>
      </w:r>
    </w:p>
    <w:p>
      <w:pPr>
        <w:spacing w:after="80"/>
      </w:pPr>
      <w:r>
        <w:rPr>
          <w:rFonts w:ascii="Arial" w:hAnsi="Arial"/>
          <w:b w:val="0"/>
          <w:i w:val="0"/>
          <w:sz w:val="18"/>
        </w:rPr>
        <w:t>Amazon může ovlivnit regionální trh práce. Vyšší počet pracovních míst v logistice může být pozitivem pro uchazeče, ale současně negativem pro menší zaměstnavatele, kteří budou obtížněji držet pracovníky. To se může promítnout do růstu mzdových nákladů a nedostatku lidí ve službách, výrobě i lokálním podnikání.</w:t>
      </w:r>
    </w:p>
    <w:p>
      <w:pPr>
        <w:pStyle w:val="Heading2"/>
      </w:pPr>
      <w:r>
        <w:t>5.8 Daňové a ekonomické asymetrie</w:t>
      </w:r>
    </w:p>
    <w:p>
      <w:pPr>
        <w:spacing w:after="80"/>
      </w:pPr>
      <w:r>
        <w:rPr>
          <w:rFonts w:ascii="Arial" w:hAnsi="Arial"/>
          <w:b w:val="0"/>
          <w:i w:val="0"/>
          <w:sz w:val="18"/>
        </w:rPr>
        <w:t>Obec může získat příjmy nebo kompenzace, ale nemusí automaticky získat zdroje odpovídající skutečným dopadům. Typickým rizikem velkých logistických projektů je asymetrie: zisky plynou investorům a nájemci, zatímco část nákladů v podobě dopravy, hluku a změny krajiny nese obec a obyvatelé.</w:t>
      </w:r>
    </w:p>
    <w:p>
      <w:pPr>
        <w:pStyle w:val="Heading2"/>
      </w:pPr>
      <w:r>
        <w:t>5.9 Dlouhodobá uzamčenost území</w:t>
      </w:r>
    </w:p>
    <w:p>
      <w:pPr>
        <w:spacing w:after="80"/>
      </w:pPr>
      <w:r>
        <w:rPr>
          <w:rFonts w:ascii="Arial" w:hAnsi="Arial"/>
          <w:b w:val="0"/>
          <w:i w:val="0"/>
          <w:sz w:val="18"/>
        </w:rPr>
        <w:t>Dvacetiletý nájemní horizont znamená, že rozhodnutí nebude krátkodobé. Pokud se provoz ukáže jako problematický, bude obtížné jej zásadně změnit. Proto je nutné nastavit závazné podmínky ještě před povolením a zahájením provozu.</w:t>
      </w:r>
    </w:p>
    <w:p>
      <w:pPr>
        <w:pStyle w:val="Heading1"/>
      </w:pPr>
      <w:r>
        <w:t>6. Kontrolní seznam: co musí obec požadovat před jakýmkoliv souhlasem</w:t>
      </w:r>
    </w:p>
    <w:p>
      <w:pPr>
        <w:spacing w:after="80"/>
      </w:pPr>
      <w:r>
        <w:rPr>
          <w:rFonts w:ascii="Arial" w:hAnsi="Arial"/>
          <w:b w:val="0"/>
          <w:i w:val="0"/>
          <w:sz w:val="18"/>
        </w:rPr>
        <w:t>Následující seznam je formulován záměrně přísně. U projektu této velikosti by obec neměla spoléhat na ústní ujištění, ale vyžadovat písemné, měřitelné a vymahatelné závazky.</w:t>
      </w:r>
    </w:p>
    <w:tbl>
      <w:tblPr>
        <w:tblStyle w:val="TableGrid"/>
        <w:tblW w:type="auto" w:w="0"/>
        <w:jc w:val="center"/>
        <w:tblLook w:firstColumn="1" w:firstRow="1" w:lastColumn="0" w:lastRow="0" w:noHBand="0" w:noVBand="1" w:val="04A0"/>
      </w:tblPr>
      <w:tblGrid>
        <w:gridCol w:w="4986"/>
        <w:gridCol w:w="4986"/>
      </w:tblGrid>
      <w:tr>
        <w:tc>
          <w:tcPr>
            <w:tcW w:type="dxa" w:w="4986"/>
            <w:shd w:fill="D9EAF7"/>
          </w:tcPr>
          <w:p>
            <w:r/>
            <w:r>
              <w:rPr>
                <w:rFonts w:ascii="Arial" w:hAnsi="Arial"/>
                <w:b/>
                <w:sz w:val="17"/>
              </w:rPr>
              <w:t>Oblast</w:t>
            </w:r>
          </w:p>
        </w:tc>
        <w:tc>
          <w:tcPr>
            <w:tcW w:type="dxa" w:w="4986"/>
            <w:shd w:fill="D9EAF7"/>
          </w:tcPr>
          <w:p>
            <w:r/>
            <w:r>
              <w:rPr>
                <w:rFonts w:ascii="Arial" w:hAnsi="Arial"/>
                <w:b/>
                <w:sz w:val="17"/>
              </w:rPr>
              <w:t>Požadavek</w:t>
            </w:r>
          </w:p>
        </w:tc>
      </w:tr>
      <w:tr>
        <w:tc>
          <w:tcPr>
            <w:tcW w:type="dxa" w:w="4986"/>
            <w:vAlign w:val="top"/>
          </w:tcPr>
          <w:p>
            <w:r/>
            <w:r>
              <w:rPr>
                <w:rFonts w:ascii="Arial" w:hAnsi="Arial"/>
                <w:b w:val="0"/>
                <w:sz w:val="17"/>
              </w:rPr>
              <w:t>Dopravní studie</w:t>
            </w:r>
          </w:p>
        </w:tc>
        <w:tc>
          <w:tcPr>
            <w:tcW w:type="dxa" w:w="4986"/>
            <w:vAlign w:val="top"/>
          </w:tcPr>
          <w:p>
            <w:r/>
            <w:r>
              <w:rPr>
                <w:rFonts w:ascii="Arial" w:hAnsi="Arial"/>
                <w:b w:val="0"/>
                <w:sz w:val="17"/>
              </w:rPr>
              <w:t>Musí obsahovat variantu běžného provozu, vánoční špičky, nehody, uzavírky, dopravní špičky, směny a scénář bez dostavby/omezení D3.</w:t>
            </w:r>
          </w:p>
        </w:tc>
      </w:tr>
      <w:tr>
        <w:tc>
          <w:tcPr>
            <w:tcW w:type="dxa" w:w="4986"/>
            <w:vAlign w:val="top"/>
          </w:tcPr>
          <w:p>
            <w:r/>
            <w:r>
              <w:rPr>
                <w:rFonts w:ascii="Arial" w:hAnsi="Arial"/>
                <w:b w:val="0"/>
                <w:sz w:val="17"/>
              </w:rPr>
              <w:t>Kamiony</w:t>
            </w:r>
          </w:p>
        </w:tc>
        <w:tc>
          <w:tcPr>
            <w:tcW w:type="dxa" w:w="4986"/>
            <w:vAlign w:val="top"/>
          </w:tcPr>
          <w:p>
            <w:r/>
            <w:r>
              <w:rPr>
                <w:rFonts w:ascii="Arial" w:hAnsi="Arial"/>
                <w:b w:val="0"/>
                <w:sz w:val="17"/>
              </w:rPr>
              <w:t>Závazný zákaz průjezdu kamionů obytnými částmi Boršova a Homol, včetně sankcí a monitoringu GPS / kamerového dohledu.</w:t>
            </w:r>
          </w:p>
        </w:tc>
      </w:tr>
      <w:tr>
        <w:tc>
          <w:tcPr>
            <w:tcW w:type="dxa" w:w="4986"/>
            <w:vAlign w:val="top"/>
          </w:tcPr>
          <w:p>
            <w:r/>
            <w:r>
              <w:rPr>
                <w:rFonts w:ascii="Arial" w:hAnsi="Arial"/>
                <w:b w:val="0"/>
                <w:sz w:val="17"/>
              </w:rPr>
              <w:t>Zaměstnanci</w:t>
            </w:r>
          </w:p>
        </w:tc>
        <w:tc>
          <w:tcPr>
            <w:tcW w:type="dxa" w:w="4986"/>
            <w:vAlign w:val="top"/>
          </w:tcPr>
          <w:p>
            <w:r/>
            <w:r>
              <w:rPr>
                <w:rFonts w:ascii="Arial" w:hAnsi="Arial"/>
                <w:b w:val="0"/>
                <w:sz w:val="17"/>
              </w:rPr>
              <w:t>Závazný plán svozu zaměstnanců autobusy, minimální podíl veřejné / autobusové dopravy, parkovací management.</w:t>
            </w:r>
          </w:p>
        </w:tc>
      </w:tr>
      <w:tr>
        <w:tc>
          <w:tcPr>
            <w:tcW w:type="dxa" w:w="4986"/>
            <w:vAlign w:val="top"/>
          </w:tcPr>
          <w:p>
            <w:r/>
            <w:r>
              <w:rPr>
                <w:rFonts w:ascii="Arial" w:hAnsi="Arial"/>
                <w:b w:val="0"/>
                <w:sz w:val="17"/>
              </w:rPr>
              <w:t>Hluk</w:t>
            </w:r>
          </w:p>
        </w:tc>
        <w:tc>
          <w:tcPr>
            <w:tcW w:type="dxa" w:w="4986"/>
            <w:vAlign w:val="top"/>
          </w:tcPr>
          <w:p>
            <w:r/>
            <w:r>
              <w:rPr>
                <w:rFonts w:ascii="Arial" w:hAnsi="Arial"/>
                <w:b w:val="0"/>
                <w:sz w:val="17"/>
              </w:rPr>
              <w:t>Noční hluková studie, monitoring po spuštění, povinnost nápravných opatření při překročení limitů nebo opakovaných stížnostech.</w:t>
            </w:r>
          </w:p>
        </w:tc>
      </w:tr>
      <w:tr>
        <w:tc>
          <w:tcPr>
            <w:tcW w:type="dxa" w:w="4986"/>
            <w:vAlign w:val="top"/>
          </w:tcPr>
          <w:p>
            <w:r/>
            <w:r>
              <w:rPr>
                <w:rFonts w:ascii="Arial" w:hAnsi="Arial"/>
                <w:b w:val="0"/>
                <w:sz w:val="17"/>
              </w:rPr>
              <w:t>Světlo</w:t>
            </w:r>
          </w:p>
        </w:tc>
        <w:tc>
          <w:tcPr>
            <w:tcW w:type="dxa" w:w="4986"/>
            <w:vAlign w:val="top"/>
          </w:tcPr>
          <w:p>
            <w:r/>
            <w:r>
              <w:rPr>
                <w:rFonts w:ascii="Arial" w:hAnsi="Arial"/>
                <w:b w:val="0"/>
                <w:sz w:val="17"/>
              </w:rPr>
              <w:t>Projekt osvětlení s nočním útlumem, směrováním dolů, limity intenzity a zákazem rušivých reklamních světelných prvků.</w:t>
            </w:r>
          </w:p>
        </w:tc>
      </w:tr>
      <w:tr>
        <w:tc>
          <w:tcPr>
            <w:tcW w:type="dxa" w:w="4986"/>
            <w:vAlign w:val="top"/>
          </w:tcPr>
          <w:p>
            <w:r/>
            <w:r>
              <w:rPr>
                <w:rFonts w:ascii="Arial" w:hAnsi="Arial"/>
                <w:b w:val="0"/>
                <w:sz w:val="17"/>
              </w:rPr>
              <w:t>Krajina</w:t>
            </w:r>
          </w:p>
        </w:tc>
        <w:tc>
          <w:tcPr>
            <w:tcW w:type="dxa" w:w="4986"/>
            <w:vAlign w:val="top"/>
          </w:tcPr>
          <w:p>
            <w:r/>
            <w:r>
              <w:rPr>
                <w:rFonts w:ascii="Arial" w:hAnsi="Arial"/>
                <w:b w:val="0"/>
                <w:sz w:val="17"/>
              </w:rPr>
              <w:t>Výsadba vysoké zeleně před kolaudací, ochranné valy, zelené fasády, povinnost dlouhodobé údržby.</w:t>
            </w:r>
          </w:p>
        </w:tc>
      </w:tr>
      <w:tr>
        <w:tc>
          <w:tcPr>
            <w:tcW w:type="dxa" w:w="4986"/>
            <w:vAlign w:val="top"/>
          </w:tcPr>
          <w:p>
            <w:r/>
            <w:r>
              <w:rPr>
                <w:rFonts w:ascii="Arial" w:hAnsi="Arial"/>
                <w:b w:val="0"/>
                <w:sz w:val="17"/>
              </w:rPr>
              <w:t>Voda</w:t>
            </w:r>
          </w:p>
        </w:tc>
        <w:tc>
          <w:tcPr>
            <w:tcW w:type="dxa" w:w="4986"/>
            <w:vAlign w:val="top"/>
          </w:tcPr>
          <w:p>
            <w:r/>
            <w:r>
              <w:rPr>
                <w:rFonts w:ascii="Arial" w:hAnsi="Arial"/>
                <w:b w:val="0"/>
                <w:sz w:val="17"/>
              </w:rPr>
              <w:t>Retence, vsak, hospodaření s dešťovou vodou, havarijní plán pro úniky z dopravy a skladování.</w:t>
            </w:r>
          </w:p>
        </w:tc>
      </w:tr>
      <w:tr>
        <w:tc>
          <w:tcPr>
            <w:tcW w:type="dxa" w:w="4986"/>
            <w:vAlign w:val="top"/>
          </w:tcPr>
          <w:p>
            <w:r/>
            <w:r>
              <w:rPr>
                <w:rFonts w:ascii="Arial" w:hAnsi="Arial"/>
                <w:b w:val="0"/>
                <w:sz w:val="17"/>
              </w:rPr>
              <w:t>Kompenzace</w:t>
            </w:r>
          </w:p>
        </w:tc>
        <w:tc>
          <w:tcPr>
            <w:tcW w:type="dxa" w:w="4986"/>
            <w:vAlign w:val="top"/>
          </w:tcPr>
          <w:p>
            <w:r/>
            <w:r>
              <w:rPr>
                <w:rFonts w:ascii="Arial" w:hAnsi="Arial"/>
                <w:b w:val="0"/>
                <w:sz w:val="17"/>
              </w:rPr>
              <w:t>Fond pro obec, příspěvek na infrastrukturu, chodníky, cyklostezky, MHD, školku, sportoviště, údržbu komunikací.</w:t>
            </w:r>
          </w:p>
        </w:tc>
      </w:tr>
      <w:tr>
        <w:tc>
          <w:tcPr>
            <w:tcW w:type="dxa" w:w="4986"/>
            <w:vAlign w:val="top"/>
          </w:tcPr>
          <w:p>
            <w:r/>
            <w:r>
              <w:rPr>
                <w:rFonts w:ascii="Arial" w:hAnsi="Arial"/>
                <w:b w:val="0"/>
                <w:sz w:val="17"/>
              </w:rPr>
              <w:t>Transparentnost</w:t>
            </w:r>
          </w:p>
        </w:tc>
        <w:tc>
          <w:tcPr>
            <w:tcW w:type="dxa" w:w="4986"/>
            <w:vAlign w:val="top"/>
          </w:tcPr>
          <w:p>
            <w:r/>
            <w:r>
              <w:rPr>
                <w:rFonts w:ascii="Arial" w:hAnsi="Arial"/>
                <w:b w:val="0"/>
                <w:sz w:val="17"/>
              </w:rPr>
              <w:t>Veřejný reporting dopravy, hluku a plnění závazků minimálně 1x ročně.</w:t>
            </w:r>
          </w:p>
        </w:tc>
      </w:tr>
      <w:tr>
        <w:tc>
          <w:tcPr>
            <w:tcW w:type="dxa" w:w="4986"/>
            <w:vAlign w:val="top"/>
          </w:tcPr>
          <w:p>
            <w:r/>
            <w:r>
              <w:rPr>
                <w:rFonts w:ascii="Arial" w:hAnsi="Arial"/>
                <w:b w:val="0"/>
                <w:sz w:val="17"/>
              </w:rPr>
              <w:t>Právní vymahatelnost</w:t>
            </w:r>
          </w:p>
        </w:tc>
        <w:tc>
          <w:tcPr>
            <w:tcW w:type="dxa" w:w="4986"/>
            <w:vAlign w:val="top"/>
          </w:tcPr>
          <w:p>
            <w:r/>
            <w:r>
              <w:rPr>
                <w:rFonts w:ascii="Arial" w:hAnsi="Arial"/>
                <w:b w:val="0"/>
                <w:sz w:val="17"/>
              </w:rPr>
              <w:t>Smluvní pokuty, možnost přerušení určitých provozních režimů při porušování závazků, jasný subjekt odpovědnosti.</w:t>
            </w:r>
          </w:p>
        </w:tc>
      </w:tr>
    </w:tbl>
    <w:p>
      <w:pPr>
        <w:pStyle w:val="Heading1"/>
      </w:pPr>
      <w:r>
        <w:t>7. Scénáře vývoje</w:t>
      </w:r>
    </w:p>
    <w:p>
      <w:pPr>
        <w:pStyle w:val="Heading2"/>
      </w:pPr>
      <w:r>
        <w:t>Optimistický scénář</w:t>
      </w:r>
    </w:p>
    <w:p>
      <w:pPr>
        <w:spacing w:after="80"/>
      </w:pPr>
      <w:r>
        <w:rPr>
          <w:rFonts w:ascii="Arial" w:hAnsi="Arial"/>
          <w:b w:val="0"/>
          <w:i w:val="0"/>
          <w:sz w:val="18"/>
        </w:rPr>
        <w:t>Investor uzavře kvalitní plánovací smlouvu, kamionová doprava je efektivně odvedena mimo obec, autobusový svoz výrazně snižuje počet osobních aut, protihluková a světelná opatření fungují a obec získá kompenzace. I v tomto scénáři však Boršov přijde o část klidového charakteru území.</w:t>
      </w:r>
    </w:p>
    <w:p>
      <w:pPr>
        <w:pStyle w:val="Heading2"/>
      </w:pPr>
      <w:r>
        <w:t>Realistický scénář</w:t>
      </w:r>
    </w:p>
    <w:p>
      <w:pPr>
        <w:spacing w:after="80"/>
      </w:pPr>
      <w:r>
        <w:rPr>
          <w:rFonts w:ascii="Arial" w:hAnsi="Arial"/>
          <w:b w:val="0"/>
          <w:i w:val="0"/>
          <w:sz w:val="18"/>
        </w:rPr>
        <w:t>Stavba vznikne, část opatření se realizuje, ale doprava a provoz budou pro obyvatele citelné. Bude docházet k periodickým stížnostem na dopravu, hluk a světlo; obec bude muset průběžně vyjednávat o nápravě.</w:t>
      </w:r>
    </w:p>
    <w:p>
      <w:pPr>
        <w:pStyle w:val="Heading2"/>
      </w:pPr>
      <w:r>
        <w:t>Rizikový scénář</w:t>
      </w:r>
    </w:p>
    <w:p>
      <w:pPr>
        <w:spacing w:after="80"/>
      </w:pPr>
      <w:r>
        <w:rPr>
          <w:rFonts w:ascii="Arial" w:hAnsi="Arial"/>
          <w:b w:val="0"/>
          <w:i w:val="0"/>
          <w:sz w:val="18"/>
        </w:rPr>
        <w:t>Projekt se povolí rychle, bez dostatečně vymáhatelných podmínek. Doprava se přelévá do okolí při nehodách a špičkách, opatření nejsou dostatečná, veřejnost ztrácí důvěru a průmyslový park se dále rozšiřuje bez jasné dlouhodobé strategie.</w:t>
      </w:r>
    </w:p>
    <w:p>
      <w:pPr>
        <w:pStyle w:val="Heading1"/>
      </w:pPr>
      <w:r>
        <w:t>8. Proč nelze slepě spoléhat na argument „Amazon jinde funguje“</w:t>
      </w:r>
    </w:p>
    <w:p>
      <w:pPr>
        <w:spacing w:after="80"/>
      </w:pPr>
      <w:r>
        <w:rPr>
          <w:rFonts w:ascii="Arial" w:hAnsi="Arial"/>
          <w:b w:val="0"/>
          <w:i w:val="0"/>
          <w:sz w:val="18"/>
        </w:rPr>
        <w:t>Investoři argumentují tím, že Amazon v České republice dlouhodobě působí a že jedna známá firma je předvídatelnější než několik neznámých nájemců. Tento argument má racionální základ, ale není dostačující pro rozhodnutí obce. [S2]</w:t>
      </w:r>
    </w:p>
    <w:p>
      <w:pPr>
        <w:pStyle w:val="ListBullet"/>
        <w:spacing w:after="40"/>
      </w:pPr>
      <w:r>
        <w:rPr>
          <w:rFonts w:ascii="Arial" w:hAnsi="Arial"/>
          <w:sz w:val="18"/>
        </w:rPr>
        <w:t>Každá lokalita má jiné dopravní napojení, jinou blízkost obytné zástavby a jiný vztah ke krajině.</w:t>
      </w:r>
    </w:p>
    <w:p>
      <w:pPr>
        <w:pStyle w:val="ListBullet"/>
        <w:spacing w:after="40"/>
      </w:pPr>
      <w:r>
        <w:rPr>
          <w:rFonts w:ascii="Arial" w:hAnsi="Arial"/>
          <w:sz w:val="18"/>
        </w:rPr>
        <w:t>Předvídatelnost nájemce neznamená automaticky nízký dopad provozu.</w:t>
      </w:r>
    </w:p>
    <w:p>
      <w:pPr>
        <w:pStyle w:val="ListBullet"/>
        <w:spacing w:after="40"/>
      </w:pPr>
      <w:r>
        <w:rPr>
          <w:rFonts w:ascii="Arial" w:hAnsi="Arial"/>
          <w:sz w:val="18"/>
        </w:rPr>
        <w:t>Dobře fungující areál jinde neřeší kapacitu konkrétních kruhových objezdů a silnic u Boršova.</w:t>
      </w:r>
    </w:p>
    <w:p>
      <w:pPr>
        <w:pStyle w:val="ListBullet"/>
        <w:spacing w:after="40"/>
      </w:pPr>
      <w:r>
        <w:rPr>
          <w:rFonts w:ascii="Arial" w:hAnsi="Arial"/>
          <w:sz w:val="18"/>
        </w:rPr>
        <w:t>Návštěva existujícího centra může být užitečná, ale nenahradí nezávislou dopravní, hlukovou a krajinářskou analýzu.</w:t>
      </w:r>
    </w:p>
    <w:p>
      <w:pPr>
        <w:pStyle w:val="ListBullet"/>
        <w:spacing w:after="40"/>
      </w:pPr>
      <w:r>
        <w:rPr>
          <w:rFonts w:ascii="Arial" w:hAnsi="Arial"/>
          <w:sz w:val="18"/>
        </w:rPr>
        <w:t>Dlouhodobý dvacetiletý nájem znamená, že obec musí mít smluvně ošetřený nejen začátek, ale celý provozní cyklus.</w:t>
      </w:r>
    </w:p>
    <w:p>
      <w:pPr>
        <w:pStyle w:val="Heading1"/>
      </w:pPr>
      <w:r>
        <w:t>9. Dohledatelné známky odporu veřejnosti</w:t>
      </w:r>
    </w:p>
    <w:p>
      <w:pPr>
        <w:spacing w:after="80"/>
      </w:pPr>
      <w:r>
        <w:rPr>
          <w:rFonts w:ascii="Arial" w:hAnsi="Arial"/>
          <w:b w:val="0"/>
          <w:i w:val="0"/>
          <w:sz w:val="18"/>
        </w:rPr>
        <w:t>Odpor veřejnosti je v tuto chvíli zachytitelný ve třech rovinách: oficiální petice, veřejná vystoupení obyvatel na projednání a mediální / sociálně-síťová diskuse.</w:t>
      </w:r>
    </w:p>
    <w:p>
      <w:pPr>
        <w:pStyle w:val="Heading2"/>
      </w:pPr>
      <w:r>
        <w:t>9.1 Petice</w:t>
      </w:r>
    </w:p>
    <w:p>
      <w:pPr>
        <w:spacing w:after="80"/>
      </w:pPr>
      <w:r>
        <w:rPr>
          <w:rFonts w:ascii="Arial" w:hAnsi="Arial"/>
          <w:b w:val="0"/>
          <w:i w:val="0"/>
          <w:sz w:val="18"/>
        </w:rPr>
        <w:t>Na Portálu veřejné správy je dohledatelná petice s názvem „Petice proti záměru Zóna ekonomického rozvoje Boršov nad Vltavou I (pro projekt Amazon)“. Petice požaduje zastavení podnikatelského záměru a zamezení pronájmu projektu firmě Amazon. [S7]</w:t>
      </w:r>
    </w:p>
    <w:p>
      <w:pPr>
        <w:spacing w:after="80"/>
      </w:pPr>
      <w:r>
        <w:rPr>
          <w:rFonts w:ascii="Arial" w:hAnsi="Arial"/>
          <w:b w:val="0"/>
          <w:i w:val="0"/>
          <w:sz w:val="18"/>
        </w:rPr>
        <w:t>Petice je důležitým signálem, protože formalizuje nesouhlas části veřejnosti a umožňuje obci a zastupitelstvu pracovat s doložitelným projevem občanské opozice, nikoli pouze s dojmy z diskuse.</w:t>
      </w:r>
    </w:p>
    <w:p>
      <w:pPr>
        <w:pStyle w:val="Heading2"/>
      </w:pPr>
      <w:r>
        <w:t>9.2 Veřejné projednání a mediálně zachycené námitky</w:t>
      </w:r>
    </w:p>
    <w:p>
      <w:pPr>
        <w:spacing w:after="80"/>
      </w:pPr>
      <w:r>
        <w:rPr>
          <w:rFonts w:ascii="Arial" w:hAnsi="Arial"/>
          <w:b w:val="0"/>
          <w:i w:val="0"/>
          <w:sz w:val="18"/>
        </w:rPr>
        <w:t>Veřejné setkání 16. června 2026 v Homoli podle médií zaplnilo sál a trvalo téměř tři hodiny. Obyvatelé se opakovaně ptali na dopravu, zásah do krajiny u Vltavy, dopady na každodenní život a pozdní komunikaci projektu. [S2]</w:t>
      </w:r>
    </w:p>
    <w:p>
      <w:pPr>
        <w:spacing w:after="80"/>
      </w:pPr>
      <w:r>
        <w:rPr>
          <w:rFonts w:ascii="Arial" w:hAnsi="Arial"/>
          <w:b w:val="0"/>
          <w:i w:val="0"/>
          <w:sz w:val="18"/>
        </w:rPr>
        <w:t>iROZHLAS zachytil obavy ze šibeničních termínů, dopravní zátěže, dlouhodobého nájmu a možných dopadů na obec. [S1]</w:t>
      </w:r>
    </w:p>
    <w:p>
      <w:pPr>
        <w:pStyle w:val="Heading2"/>
      </w:pPr>
      <w:r>
        <w:t>9.3 Sociální sítě</w:t>
      </w:r>
    </w:p>
    <w:p>
      <w:pPr>
        <w:spacing w:after="80"/>
      </w:pPr>
      <w:r>
        <w:rPr>
          <w:rFonts w:ascii="Arial" w:hAnsi="Arial"/>
          <w:b w:val="0"/>
          <w:i w:val="0"/>
          <w:sz w:val="18"/>
        </w:rPr>
        <w:t>Při běžném veřejném webovém vyhledávání byla dohledána veřejná facebooková stopa zejména přes stránku BAU / Budějovická Architektura a Urbanismus, která na projekt upozorňuje. Nebyla však jednoznačně dohledána samostatná veřejná facebooková skupina výhradně zaměřená na zastavení záměru. To nevylučuje existenci uzavřených nebo lokálních skupin, které nejsou indexované vyhledávači. [S8]</w:t>
      </w:r>
    </w:p>
    <w:p>
      <w:pPr>
        <w:pStyle w:val="Heading1"/>
      </w:pPr>
      <w:r>
        <w:t>10. Závěr</w:t>
      </w:r>
    </w:p>
    <w:p>
      <w:pPr>
        <w:spacing w:after="80"/>
      </w:pPr>
      <w:r>
        <w:rPr>
          <w:rFonts w:ascii="Arial" w:hAnsi="Arial"/>
          <w:b w:val="0"/>
          <w:i w:val="0"/>
          <w:sz w:val="18"/>
        </w:rPr>
        <w:t>Projekt Amazon v Boršově nad Vltavou je z hlediska obce a obyvatel vysoce citlivý. Největší rizika nejsou ideologická, ale praktická: doprava, hluk, noční provoz, světelný smog, změna krajiny, kumulace s dalším rozvojem průmyslového parku a ztráta důvěry veřejnosti v rozhodovací proces.</w:t>
      </w:r>
    </w:p>
    <w:p>
      <w:pPr>
        <w:spacing w:after="80"/>
      </w:pPr>
      <w:r>
        <w:rPr>
          <w:rFonts w:ascii="Arial" w:hAnsi="Arial"/>
          <w:b w:val="0"/>
          <w:i w:val="0"/>
          <w:sz w:val="18"/>
        </w:rPr>
        <w:t>Za nejproblematičtější okolnost lze považovat časovou a procesní kompresi: konkrétní podoba projektu byla podle veřejných zdrojů představena velmi pozdě, přitom investor deklaruje ambici zahájit stavbu ještě v roce 2026. Tato kombinace vytváří tlak na rychlé schválení plánovací smlouvy a na rozhodování zastupitelů bez plného komfortu nezávislých analýz. [S1], [S2], [S3]</w:t>
      </w:r>
    </w:p>
    <w:p>
      <w:pPr>
        <w:spacing w:after="80"/>
      </w:pPr>
      <w:r>
        <w:rPr>
          <w:rFonts w:ascii="Arial" w:hAnsi="Arial"/>
          <w:b w:val="0"/>
          <w:i w:val="0"/>
          <w:sz w:val="18"/>
        </w:rPr>
        <w:t>Obec by neměla souhlasit s žádným krokem, který by fakticky otevřel cestu k realizaci záměru, dokud nebude mít k dispozici kompletní dopravní, hlukové, světelné, krajinářské a právní vyhodnocení. Zároveň by měla požadovat, aby všechny kompenzace a provozní limity byly součástí závazného dokumentu s jasnými sankcemi.</w:t>
      </w:r>
    </w:p>
    <w:p>
      <w:pPr>
        <w:spacing w:after="80"/>
      </w:pPr>
      <w:r>
        <w:rPr>
          <w:rFonts w:ascii="Arial" w:hAnsi="Arial"/>
          <w:b w:val="0"/>
          <w:i w:val="0"/>
          <w:sz w:val="18"/>
        </w:rPr>
        <w:t>Pokud investor tvrdí, že varianta Amazon je šetrnější než dříve povolené čtyři haly, měl by toto tvrzení doložit srovnávací studií ve všech klíčových parametrech: doprava, hluk, světlo, krajina, voda, pracovní trh, sociální dopady a kumulace s rozvojem celého parku.</w:t>
      </w:r>
    </w:p>
    <w:p>
      <w:pPr>
        <w:pStyle w:val="Heading1"/>
      </w:pPr>
      <w:r>
        <w:t>11. Doporučený postup pro obec / občanskou iniciativu</w:t>
      </w:r>
    </w:p>
    <w:p>
      <w:pPr>
        <w:pStyle w:val="ListBullet"/>
        <w:spacing w:after="40"/>
      </w:pPr>
      <w:r>
        <w:rPr>
          <w:rFonts w:ascii="Arial" w:hAnsi="Arial"/>
          <w:sz w:val="18"/>
        </w:rPr>
        <w:t>Získat kompletní projektovou dokumentaci, dopravní studii, hlukovou studii, rozptylovou studii a návrh plánovací smlouvy.</w:t>
      </w:r>
    </w:p>
    <w:p>
      <w:pPr>
        <w:pStyle w:val="ListBullet"/>
        <w:spacing w:after="40"/>
      </w:pPr>
      <w:r>
        <w:rPr>
          <w:rFonts w:ascii="Arial" w:hAnsi="Arial"/>
          <w:sz w:val="18"/>
        </w:rPr>
        <w:t>Objednat nezávislou oponenturu dopravní studie, nikoli pouze přijmout studii investora.</w:t>
      </w:r>
    </w:p>
    <w:p>
      <w:pPr>
        <w:pStyle w:val="ListBullet"/>
        <w:spacing w:after="40"/>
      </w:pPr>
      <w:r>
        <w:rPr>
          <w:rFonts w:ascii="Arial" w:hAnsi="Arial"/>
          <w:sz w:val="18"/>
        </w:rPr>
        <w:t>Vyžádat právní posouzení, zda aktuální varianta Amazonu nevyžaduje nové nebo doplněné posouzení vlivů včetně kumulativních dopadů.</w:t>
      </w:r>
    </w:p>
    <w:p>
      <w:pPr>
        <w:pStyle w:val="ListBullet"/>
        <w:spacing w:after="40"/>
      </w:pPr>
      <w:r>
        <w:rPr>
          <w:rFonts w:ascii="Arial" w:hAnsi="Arial"/>
          <w:sz w:val="18"/>
        </w:rPr>
        <w:t>Požadovat veřejné projednání s dostatečným předstihem, zveřejněním podkladů a možností písemných připomínek.</w:t>
      </w:r>
    </w:p>
    <w:p>
      <w:pPr>
        <w:pStyle w:val="ListBullet"/>
        <w:spacing w:after="40"/>
      </w:pPr>
      <w:r>
        <w:rPr>
          <w:rFonts w:ascii="Arial" w:hAnsi="Arial"/>
          <w:sz w:val="18"/>
        </w:rPr>
        <w:t>Zajistit, aby plánovací smlouva obsahovala měřitelné limity, sankce a povinnost průběžného monitoringu.</w:t>
      </w:r>
    </w:p>
    <w:p>
      <w:pPr>
        <w:pStyle w:val="ListBullet"/>
        <w:spacing w:after="40"/>
      </w:pPr>
      <w:r>
        <w:rPr>
          <w:rFonts w:ascii="Arial" w:hAnsi="Arial"/>
          <w:sz w:val="18"/>
        </w:rPr>
        <w:t>Ověřit možnosti místního referenda nebo usnesení zastupitelstva k mandátu pro vyjednávání.</w:t>
      </w:r>
    </w:p>
    <w:p>
      <w:pPr>
        <w:pStyle w:val="ListBullet"/>
        <w:spacing w:after="40"/>
      </w:pPr>
      <w:r>
        <w:rPr>
          <w:rFonts w:ascii="Arial" w:hAnsi="Arial"/>
          <w:sz w:val="18"/>
        </w:rPr>
        <w:t>Vést veřejný přehled všech jednání s investorem, dotčenými orgány a správci dopravní infrastruktury.</w:t>
      </w:r>
    </w:p>
    <w:p>
      <w:pPr>
        <w:pStyle w:val="Heading1"/>
      </w:pPr>
      <w:r>
        <w:t>12. Přehled použitých veřejných zdrojů</w:t>
      </w:r>
    </w:p>
    <w:p>
      <w:r>
        <w:rPr>
          <w:rFonts w:ascii="Arial" w:hAnsi="Arial"/>
          <w:b/>
          <w:sz w:val="17"/>
        </w:rPr>
        <w:t xml:space="preserve">[S1] iROZHLAS, 17. 6. 2026 </w:t>
      </w:r>
      <w:r>
        <w:rPr>
          <w:rFonts w:ascii="Arial" w:hAnsi="Arial"/>
          <w:sz w:val="17"/>
        </w:rPr>
        <w:t>Boršov trápí šibeniční termín na rozhodnutí o skladu Amazonu. https://www.irozhlas.cz/zpravy-domov/borsov-trapi-sibenicni-termin-na-rozhodnuti-o-skladu-amazonu-pulkilometrova-hala_2606170906_dci</w:t>
      </w:r>
    </w:p>
    <w:p>
      <w:r>
        <w:rPr>
          <w:rFonts w:ascii="Arial" w:hAnsi="Arial"/>
          <w:b/>
          <w:sz w:val="17"/>
        </w:rPr>
        <w:t xml:space="preserve">[S2] Jižní Čechy Teď, 17. 6. 2026 </w:t>
      </w:r>
      <w:r>
        <w:rPr>
          <w:rFonts w:ascii="Arial" w:hAnsi="Arial"/>
          <w:sz w:val="17"/>
        </w:rPr>
        <w:t>Amazon, nebo čtyři jiné haly? Boršov řeší záměr, který rozbouřil plný sál. https://www.jcted.cz/amazon-nebo-ctyri-jine-haly-borsov-resi-zamer-ktery-rozbouril-plny-sal/</w:t>
      </w:r>
    </w:p>
    <w:p>
      <w:r>
        <w:rPr>
          <w:rFonts w:ascii="Arial" w:hAnsi="Arial"/>
          <w:b/>
          <w:sz w:val="17"/>
        </w:rPr>
        <w:t xml:space="preserve">[S3] RegionJih.cz, 19. 6. 2026 </w:t>
      </w:r>
      <w:r>
        <w:rPr>
          <w:rFonts w:ascii="Arial" w:hAnsi="Arial"/>
          <w:sz w:val="17"/>
        </w:rPr>
        <w:t>Amazon plánuje u Českých Budějovic dvoupatrovou halu. Projekt počítá s 1 700 pracovními místy. https://www.regionjih.cz/zpravodajstvi/amazon-planuje-u-ceskych-budejovic-dvoup-304222/</w:t>
      </w:r>
    </w:p>
    <w:p>
      <w:r>
        <w:rPr>
          <w:rFonts w:ascii="Arial" w:hAnsi="Arial"/>
          <w:b/>
          <w:sz w:val="17"/>
        </w:rPr>
        <w:t xml:space="preserve">[S4] CENIA EIA JHC926 </w:t>
      </w:r>
      <w:r>
        <w:rPr>
          <w:rFonts w:ascii="Arial" w:hAnsi="Arial"/>
          <w:sz w:val="17"/>
        </w:rPr>
        <w:t>Zóna ekonomického rozvoje Boršov; stav: nepodléhá dalšímu posuzování; právní moc závěru zjišťovacího řízení 15. 4. 2020. https://portal.cenia.cz/eiasea/detail/EIA_JHC926?lang=cs</w:t>
      </w:r>
    </w:p>
    <w:p>
      <w:r>
        <w:rPr>
          <w:rFonts w:ascii="Arial" w:hAnsi="Arial"/>
          <w:b/>
          <w:sz w:val="17"/>
        </w:rPr>
        <w:t xml:space="preserve">[S5] CENIA EIA JHC1128 </w:t>
      </w:r>
      <w:r>
        <w:rPr>
          <w:rFonts w:ascii="Arial" w:hAnsi="Arial"/>
          <w:sz w:val="17"/>
        </w:rPr>
        <w:t>Zóna ekonomického rozvoje Boršov nad Vltavou II – SO.05 – hala – instalace výrobní technologie; stav: nepodléhá dalšímu posuzování; právní moc závěru zjišťovacího řízení 27. 6. 2024. https://portal.cenia.cz/eiasea/detail/EIA_JHC1128?lang=cs</w:t>
      </w:r>
    </w:p>
    <w:p>
      <w:r>
        <w:rPr>
          <w:rFonts w:ascii="Arial" w:hAnsi="Arial"/>
          <w:b/>
          <w:sz w:val="17"/>
        </w:rPr>
        <w:t xml:space="preserve">[S6] Accolade, 8. 7. 2025 </w:t>
      </w:r>
      <w:r>
        <w:rPr>
          <w:rFonts w:ascii="Arial" w:hAnsi="Arial"/>
          <w:sz w:val="17"/>
        </w:rPr>
        <w:t>Accolade převzala / vstoupila do GARBE Park České Budějovice; uvádí celkovou plochu parku cca 490 000 m2 a pronajímatelnou plochu přes 230 000 m2. https://accolade.eu/de/neuigkeiten/503/accolade-expands-into-south-bohemia-with-more-than-eur100-million-acquisition-of-garbe-park-ceske-budejovice</w:t>
      </w:r>
    </w:p>
    <w:p>
      <w:r>
        <w:rPr>
          <w:rFonts w:ascii="Arial" w:hAnsi="Arial"/>
          <w:b/>
          <w:sz w:val="17"/>
        </w:rPr>
        <w:t xml:space="preserve">[S7] Portál veřejné správy – ePetice </w:t>
      </w:r>
      <w:r>
        <w:rPr>
          <w:rFonts w:ascii="Arial" w:hAnsi="Arial"/>
          <w:sz w:val="17"/>
        </w:rPr>
        <w:t>Petice proti záměru „Zóna ekonomického rozvoje Boršov nad Vltavou I“ (pro projekt Amazon). https://portal.gov.cz/e-petice/1883-petice-proti-zameru-zona-ekonomickeho-rozvoje-borsov-nad-vltavou-i-pro-projekt-amazon</w:t>
      </w:r>
    </w:p>
    <w:p>
      <w:r>
        <w:rPr>
          <w:rFonts w:ascii="Arial" w:hAnsi="Arial"/>
          <w:b/>
          <w:sz w:val="17"/>
        </w:rPr>
        <w:t xml:space="preserve">[S8] Facebook / BAU </w:t>
      </w:r>
      <w:r>
        <w:rPr>
          <w:rFonts w:ascii="Arial" w:hAnsi="Arial"/>
          <w:sz w:val="17"/>
        </w:rPr>
        <w:t>Veřejný post stránky BAU / Budějovická Architektura a Urbanismus upozorňující na projekt Amazon v Boršově; běžné vyhledávání neprokázalo samostatnou veřejnou FB skupinu výhradně proti záměru.</w:t>
      </w:r>
    </w:p>
    <w:p>
      <w:pPr>
        <w:pStyle w:val="Heading1"/>
      </w:pPr>
      <w:r>
        <w:t>13. Příloha: otázky pro investora a obec</w:t>
      </w:r>
    </w:p>
    <w:p>
      <w:pPr>
        <w:pStyle w:val="ListBullet"/>
        <w:spacing w:after="40"/>
      </w:pPr>
      <w:r>
        <w:rPr>
          <w:rFonts w:ascii="Arial" w:hAnsi="Arial"/>
          <w:sz w:val="18"/>
        </w:rPr>
        <w:t>Jaký je přesný rozdíl mezi původně povolenou variantou čtyř hal a aktuální variantou Amazonu v dopravě, hluku, světle, zeleni a zastavěné ploše?</w:t>
      </w:r>
    </w:p>
    <w:p>
      <w:pPr>
        <w:pStyle w:val="ListBullet"/>
        <w:spacing w:after="40"/>
      </w:pPr>
      <w:r>
        <w:rPr>
          <w:rFonts w:ascii="Arial" w:hAnsi="Arial"/>
          <w:sz w:val="18"/>
        </w:rPr>
        <w:t>Jaký právní titul umožňuje přechod z původního konceptu na jednu velkou halu a jaké nové řízení bude nutné?</w:t>
      </w:r>
    </w:p>
    <w:p>
      <w:pPr>
        <w:pStyle w:val="ListBullet"/>
        <w:spacing w:after="40"/>
      </w:pPr>
      <w:r>
        <w:rPr>
          <w:rFonts w:ascii="Arial" w:hAnsi="Arial"/>
          <w:sz w:val="18"/>
        </w:rPr>
        <w:t>Bude aktuální varianta znovu předložena do procesu EIA nebo alespoň ke screeningovému posouzení změny záměru?</w:t>
      </w:r>
    </w:p>
    <w:p>
      <w:pPr>
        <w:pStyle w:val="ListBullet"/>
        <w:spacing w:after="40"/>
      </w:pPr>
      <w:r>
        <w:rPr>
          <w:rFonts w:ascii="Arial" w:hAnsi="Arial"/>
          <w:sz w:val="18"/>
        </w:rPr>
        <w:t>Jak bude garantováno, že kamiony nebudou projíždět obytnou částí Boršova a Homol?</w:t>
      </w:r>
    </w:p>
    <w:p>
      <w:pPr>
        <w:pStyle w:val="ListBullet"/>
        <w:spacing w:after="40"/>
      </w:pPr>
      <w:r>
        <w:rPr>
          <w:rFonts w:ascii="Arial" w:hAnsi="Arial"/>
          <w:sz w:val="18"/>
        </w:rPr>
        <w:t>Jaký podíl zaměstnanců má být svážen autobusy a jak bude tento závazek vynucován?</w:t>
      </w:r>
    </w:p>
    <w:p>
      <w:pPr>
        <w:pStyle w:val="ListBullet"/>
        <w:spacing w:after="40"/>
      </w:pPr>
      <w:r>
        <w:rPr>
          <w:rFonts w:ascii="Arial" w:hAnsi="Arial"/>
          <w:sz w:val="18"/>
        </w:rPr>
        <w:t>Kdo ponese náklady na úpravy křižovatek, komunikací, zastávek, chodníků a případných protihlukových opatření?</w:t>
      </w:r>
    </w:p>
    <w:p>
      <w:pPr>
        <w:pStyle w:val="ListBullet"/>
        <w:spacing w:after="40"/>
      </w:pPr>
      <w:r>
        <w:rPr>
          <w:rFonts w:ascii="Arial" w:hAnsi="Arial"/>
          <w:sz w:val="18"/>
        </w:rPr>
        <w:t>Jak bude řešena noční směna končící ve 4:30 z hlediska dopravy a hluku?</w:t>
      </w:r>
    </w:p>
    <w:p>
      <w:pPr>
        <w:pStyle w:val="ListBullet"/>
        <w:spacing w:after="40"/>
      </w:pPr>
      <w:r>
        <w:rPr>
          <w:rFonts w:ascii="Arial" w:hAnsi="Arial"/>
          <w:sz w:val="18"/>
        </w:rPr>
        <w:t>Jaký bude maximální počet kamionů za hodinu a jak bude limit kontrolován?</w:t>
      </w:r>
    </w:p>
    <w:p>
      <w:pPr>
        <w:pStyle w:val="ListBullet"/>
        <w:spacing w:after="40"/>
      </w:pPr>
      <w:r>
        <w:rPr>
          <w:rFonts w:ascii="Arial" w:hAnsi="Arial"/>
          <w:sz w:val="18"/>
        </w:rPr>
        <w:t>Jak bude řešena vánoční špička a sezónní navýšení provozu?</w:t>
      </w:r>
    </w:p>
    <w:p>
      <w:pPr>
        <w:pStyle w:val="ListBullet"/>
        <w:spacing w:after="40"/>
      </w:pPr>
      <w:r>
        <w:rPr>
          <w:rFonts w:ascii="Arial" w:hAnsi="Arial"/>
          <w:sz w:val="18"/>
        </w:rPr>
        <w:t>Jak bude řešeno světelné znečištění směrem k obytné zástavbě a k Vltavě?</w:t>
      </w:r>
    </w:p>
    <w:p>
      <w:pPr>
        <w:pStyle w:val="ListBullet"/>
        <w:spacing w:after="40"/>
      </w:pPr>
      <w:r>
        <w:rPr>
          <w:rFonts w:ascii="Arial" w:hAnsi="Arial"/>
          <w:sz w:val="18"/>
        </w:rPr>
        <w:t>Jaké kompenzace obec získá a budou jednorázové, nebo pravidelné?</w:t>
      </w:r>
    </w:p>
    <w:p>
      <w:pPr>
        <w:pStyle w:val="ListBullet"/>
        <w:spacing w:after="40"/>
      </w:pPr>
      <w:r>
        <w:rPr>
          <w:rFonts w:ascii="Arial" w:hAnsi="Arial"/>
          <w:sz w:val="18"/>
        </w:rPr>
        <w:t>Co se stane, pokud Amazon po několika letech odejde a nájemce se změní?</w:t>
      </w:r>
    </w:p>
    <w:p>
      <w:pPr>
        <w:pStyle w:val="ListBullet"/>
        <w:spacing w:after="40"/>
      </w:pPr>
      <w:r>
        <w:rPr>
          <w:rFonts w:ascii="Arial" w:hAnsi="Arial"/>
          <w:sz w:val="18"/>
        </w:rPr>
        <w:t>Budou provozní data veřejná?</w:t>
      </w:r>
    </w:p>
    <w:p>
      <w:pPr>
        <w:pStyle w:val="ListBullet"/>
        <w:spacing w:after="40"/>
      </w:pPr>
      <w:r>
        <w:rPr>
          <w:rFonts w:ascii="Arial" w:hAnsi="Arial"/>
          <w:sz w:val="18"/>
        </w:rPr>
        <w:t>Bude smluvně vyloučena výstavba ubytoven spojených s provozem areálu?</w:t>
      </w:r>
    </w:p>
    <w:p>
      <w:pPr>
        <w:pStyle w:val="ListBullet"/>
        <w:spacing w:after="40"/>
      </w:pPr>
      <w:r>
        <w:rPr>
          <w:rFonts w:ascii="Arial" w:hAnsi="Arial"/>
          <w:sz w:val="18"/>
        </w:rPr>
        <w:t>Jak bude chráněna hodnota okolních nemovitostí a kvalita života obyvatel?</w:t>
      </w:r>
    </w:p>
    <w:p>
      <w:r>
        <w:br w:type="page"/>
      </w:r>
    </w:p>
    <w:p>
      <w:pPr>
        <w:pStyle w:val="Heading1"/>
      </w:pPr>
      <w:r>
        <w:t>14. Rozšířená analytická část: dopravní a procesní rizika</w:t>
      </w:r>
    </w:p>
    <w:p>
      <w:pPr>
        <w:spacing w:after="100" w:line="269" w:lineRule="auto"/>
      </w:pPr>
      <w:r>
        <w:rPr>
          <w:rFonts w:ascii="Arial" w:hAnsi="Arial"/>
          <w:b w:val="0"/>
          <w:i w:val="0"/>
          <w:sz w:val="20"/>
        </w:rPr>
        <w:t>Tato kapitola rozvádí hlavní rizikové body, které by měly být prověřeny nezávisle na podkladech investora. Smyslem není tvrdit, že k negativnímu scénáři nutně dojde, ale nastavit minimální standard dokazování. U záměru tohoto rozsahu by mělo platit, že nejdříve jsou doloženy dopady a závazná opatření, teprve poté může obec uvažovat o jakékoli politické nebo smluvní podpoře.</w:t>
      </w:r>
    </w:p>
    <w:p>
      <w:pPr>
        <w:pStyle w:val="Heading2"/>
      </w:pPr>
      <w:r>
        <w:t>14.1 Dopravní model nesmí stát pouze na průměrném dni</w:t>
      </w:r>
    </w:p>
    <w:p>
      <w:pPr>
        <w:spacing w:after="100" w:line="269" w:lineRule="auto"/>
      </w:pPr>
      <w:r>
        <w:rPr>
          <w:rFonts w:ascii="Arial" w:hAnsi="Arial"/>
          <w:b w:val="0"/>
          <w:i w:val="0"/>
          <w:sz w:val="20"/>
        </w:rPr>
        <w:t>Průměrný denní počet vozidel může skutečný dopad výrazně podhodnotit. Pro obyvatele nejsou rozhodující jen denní součty, ale časová koncentrace provozu, průjezdnost křižovatek, chování dopravy při nehodách a provozní extrémy. Amazon jako e-commerce logistika pracuje s výraznou sezónností. V období před Vánoci může být provoz jiný než v běžném březnovém nebo dubnovém dni. Proto musí být modelován minimálně běžný den, páteční špička, vánoční špička, uzavírka/nehoda na klíčové trase a varianta s omezenou kapacitou D3/I/3.</w:t>
      </w:r>
    </w:p>
    <w:p>
      <w:pPr>
        <w:pStyle w:val="Heading2"/>
      </w:pPr>
      <w:r>
        <w:t>14.2 Kritické místo: křižovatky a okružní objezdy</w:t>
      </w:r>
    </w:p>
    <w:p>
      <w:pPr>
        <w:spacing w:after="100" w:line="269" w:lineRule="auto"/>
      </w:pPr>
      <w:r>
        <w:rPr>
          <w:rFonts w:ascii="Arial" w:hAnsi="Arial"/>
          <w:b w:val="0"/>
          <w:i w:val="0"/>
          <w:sz w:val="20"/>
        </w:rPr>
        <w:t>Obyvatelé podle médií upozorňovali, že problém nemusí být jen jeden vjezd do areálu, ale řetězení dopravních problémů v širší síti. To je zásadní argument. Pokud se kapacitně posoudí pouze bezprostřední napojení haly, může studie opomenout sekundární zdržení na dalších uzlech, kde se potkává regionální dojížďka, tranzit, zásobování a nová průmyslová doprava.</w:t>
      </w:r>
    </w:p>
    <w:p>
      <w:pPr>
        <w:pStyle w:val="Heading2"/>
      </w:pPr>
      <w:r>
        <w:t>14.3 Směny mimo špičku nejsou samospasitelné</w:t>
      </w:r>
    </w:p>
    <w:p>
      <w:pPr>
        <w:spacing w:after="100" w:line="269" w:lineRule="auto"/>
      </w:pPr>
      <w:r>
        <w:rPr>
          <w:rFonts w:ascii="Arial" w:hAnsi="Arial"/>
          <w:b w:val="0"/>
          <w:i w:val="0"/>
          <w:sz w:val="20"/>
        </w:rPr>
        <w:t>Investor podle médií uvádí, že směny nemají kolidovat s běžnou ranní a odpolední špičkou. Tento argument je relevantní, ale nestačí. Čas 6:30 znamená příjezd zaměstnanců před začátkem směny, kdy už část ranní dopravy existuje. Konec druhé směny ve 4:30 může zase generovat noční a časně ranní provoz. Navíc provoz kamionů, servisní dopravy a kurýrních toků nemusí kopírovat jen směnové intervaly.</w:t>
      </w:r>
    </w:p>
    <w:p>
      <w:pPr>
        <w:pStyle w:val="Heading2"/>
      </w:pPr>
      <w:r>
        <w:t>14.4 Autobusový svoz musí být závazek, ne příslib</w:t>
      </w:r>
    </w:p>
    <w:p>
      <w:pPr>
        <w:spacing w:after="100" w:line="269" w:lineRule="auto"/>
      </w:pPr>
      <w:r>
        <w:rPr>
          <w:rFonts w:ascii="Arial" w:hAnsi="Arial"/>
          <w:b w:val="0"/>
          <w:i w:val="0"/>
          <w:sz w:val="20"/>
        </w:rPr>
        <w:t>Pokud investor tvrdí, že velkou část zaměstnanců bude svážet autobusy, musí být jasné, jaký minimální podíl zaměstnanců bude skutečně přepravován hromadně, odkud autobusy pojedou, jak budou financovány a jak dlouho bude systém garantován. Bez těchto parametrů jde pouze o komunikační argument, nikoli o dopravní opatření.</w:t>
      </w:r>
    </w:p>
    <w:p>
      <w:pPr>
        <w:pStyle w:val="Heading2"/>
      </w:pPr>
      <w:r>
        <w:t>14.5 Riziko nákladů přenesených na veřejný sektor</w:t>
      </w:r>
    </w:p>
    <w:p>
      <w:pPr>
        <w:spacing w:after="100" w:line="269" w:lineRule="auto"/>
      </w:pPr>
      <w:r>
        <w:rPr>
          <w:rFonts w:ascii="Arial" w:hAnsi="Arial"/>
          <w:b w:val="0"/>
          <w:i w:val="0"/>
          <w:sz w:val="20"/>
        </w:rPr>
        <w:t>V diskusi zaznělo, že investor nemůže sám rozhodnout podobu silnice první třídy. To je pravda, ale současně to znamená, že část dopravních nákladů může skončit u veřejných institucí. Obec by měla trvat na tom, aby projekt nebyl povolen dříve, než bude jasné, kdo financuje konkrétní úpravy infrastruktury a v jakém termínu.</w:t>
      </w:r>
    </w:p>
    <w:p>
      <w:pPr>
        <w:pStyle w:val="Heading1"/>
      </w:pPr>
      <w:r>
        <w:t>15. Orientační dopravní interpretace publikovaných čísel</w:t>
      </w:r>
    </w:p>
    <w:p>
      <w:pPr>
        <w:spacing w:after="100" w:line="269" w:lineRule="auto"/>
      </w:pPr>
      <w:r>
        <w:rPr>
          <w:rFonts w:ascii="Arial" w:hAnsi="Arial"/>
          <w:b w:val="0"/>
          <w:i w:val="0"/>
          <w:sz w:val="20"/>
        </w:rPr>
        <w:t>Níže uvedené výpočty jsou pouze interpretační pomůckou. Vycházejí z mediálně uvedených hodnot 277 nákladních vozidel denně, desítek autobusů a necelé pětistovky osobních aut. Nejde o autorizovanou dopravní studii.</w:t>
      </w:r>
    </w:p>
    <w:tbl>
      <w:tblPr>
        <w:tblStyle w:val="TableGrid"/>
        <w:tblW w:type="auto" w:w="0"/>
        <w:jc w:val="center"/>
        <w:tblLook w:firstColumn="1" w:firstRow="1" w:lastColumn="0" w:lastRow="0" w:noHBand="0" w:noVBand="1" w:val="04A0"/>
      </w:tblPr>
      <w:tblGrid>
        <w:gridCol w:w="4986"/>
        <w:gridCol w:w="4986"/>
      </w:tblGrid>
      <w:tr>
        <w:tc>
          <w:tcPr>
            <w:tcW w:type="dxa" w:w="4986"/>
            <w:shd w:fill="E2F0D9"/>
          </w:tcPr>
          <w:p>
            <w:r>
              <w:rPr>
                <w:rFonts w:ascii="Arial" w:hAnsi="Arial"/>
                <w:b/>
                <w:sz w:val="17"/>
              </w:rPr>
              <w:t>Publikovaný údaj</w:t>
            </w:r>
          </w:p>
        </w:tc>
        <w:tc>
          <w:tcPr>
            <w:tcW w:type="dxa" w:w="4986"/>
            <w:shd w:fill="E2F0D9"/>
          </w:tcPr>
          <w:p>
            <w:r>
              <w:rPr>
                <w:rFonts w:ascii="Arial" w:hAnsi="Arial"/>
                <w:b/>
                <w:sz w:val="17"/>
              </w:rPr>
              <w:t>Riziková interpretace</w:t>
            </w:r>
          </w:p>
        </w:tc>
      </w:tr>
      <w:tr>
        <w:tc>
          <w:tcPr>
            <w:tcW w:type="dxa" w:w="4986"/>
          </w:tcPr>
          <w:p>
            <w:r>
              <w:rPr>
                <w:rFonts w:ascii="Arial" w:hAnsi="Arial"/>
                <w:sz w:val="16"/>
              </w:rPr>
              <w:t>277 nákladních vozidel / den</w:t>
            </w:r>
          </w:p>
        </w:tc>
        <w:tc>
          <w:tcPr>
            <w:tcW w:type="dxa" w:w="4986"/>
          </w:tcPr>
          <w:p>
            <w:r>
              <w:rPr>
                <w:rFonts w:ascii="Arial" w:hAnsi="Arial"/>
                <w:sz w:val="16"/>
              </w:rPr>
              <w:t>Pokud jde o vjezdy i výjezdy, musí být vyjasněno, zda se jedná o počet vozidel, nebo jízd. Pokud 277 vozidel přijede i odjede, fyzický počet pohybů přes napojení může být dvojnásobný.</w:t>
            </w:r>
          </w:p>
        </w:tc>
      </w:tr>
      <w:tr>
        <w:tc>
          <w:tcPr>
            <w:tcW w:type="dxa" w:w="4986"/>
          </w:tcPr>
          <w:p>
            <w:r>
              <w:rPr>
                <w:rFonts w:ascii="Arial" w:hAnsi="Arial"/>
                <w:sz w:val="16"/>
              </w:rPr>
              <w:t>500 osobních aut / den</w:t>
            </w:r>
          </w:p>
        </w:tc>
        <w:tc>
          <w:tcPr>
            <w:tcW w:type="dxa" w:w="4986"/>
          </w:tcPr>
          <w:p>
            <w:r>
              <w:rPr>
                <w:rFonts w:ascii="Arial" w:hAnsi="Arial"/>
                <w:sz w:val="16"/>
              </w:rPr>
              <w:t>Při dvou směnách může vznikat koncentrace příjezdů a odjezdů v relativně krátkých oknech. I 200 až 300 vozidel v hodině je pro lokální křižovatky významné.</w:t>
            </w:r>
          </w:p>
        </w:tc>
      </w:tr>
      <w:tr>
        <w:tc>
          <w:tcPr>
            <w:tcW w:type="dxa" w:w="4986"/>
          </w:tcPr>
          <w:p>
            <w:r>
              <w:rPr>
                <w:rFonts w:ascii="Arial" w:hAnsi="Arial"/>
                <w:sz w:val="16"/>
              </w:rPr>
              <w:t>Desítky autobusů / den</w:t>
            </w:r>
          </w:p>
        </w:tc>
        <w:tc>
          <w:tcPr>
            <w:tcW w:type="dxa" w:w="4986"/>
          </w:tcPr>
          <w:p>
            <w:r>
              <w:rPr>
                <w:rFonts w:ascii="Arial" w:hAnsi="Arial"/>
                <w:sz w:val="16"/>
              </w:rPr>
              <w:t>Autobusy jsou lepší než individuální doprava, ale stále generují pohyb těžších vozidel, zastavování, nástupní místa a bezpečnostní nároky.</w:t>
            </w:r>
          </w:p>
        </w:tc>
      </w:tr>
      <w:tr>
        <w:tc>
          <w:tcPr>
            <w:tcW w:type="dxa" w:w="4986"/>
          </w:tcPr>
          <w:p>
            <w:r>
              <w:rPr>
                <w:rFonts w:ascii="Arial" w:hAnsi="Arial"/>
                <w:sz w:val="16"/>
              </w:rPr>
              <w:t>Vánoční sezóna</w:t>
            </w:r>
          </w:p>
        </w:tc>
        <w:tc>
          <w:tcPr>
            <w:tcW w:type="dxa" w:w="4986"/>
          </w:tcPr>
          <w:p>
            <w:r>
              <w:rPr>
                <w:rFonts w:ascii="Arial" w:hAnsi="Arial"/>
                <w:sz w:val="16"/>
              </w:rPr>
              <w:t>E-commerce logistika má sezónní špičky. Je nutné doložit, zda uvedená čísla odpovídají průměru, maximu, nebo modelovému běžnému dni.</w:t>
            </w:r>
          </w:p>
        </w:tc>
      </w:tr>
      <w:tr>
        <w:tc>
          <w:tcPr>
            <w:tcW w:type="dxa" w:w="4986"/>
          </w:tcPr>
          <w:p>
            <w:r>
              <w:rPr>
                <w:rFonts w:ascii="Arial" w:hAnsi="Arial"/>
                <w:sz w:val="16"/>
              </w:rPr>
              <w:t>Nehoda / uzavírka</w:t>
            </w:r>
          </w:p>
        </w:tc>
        <w:tc>
          <w:tcPr>
            <w:tcW w:type="dxa" w:w="4986"/>
          </w:tcPr>
          <w:p>
            <w:r>
              <w:rPr>
                <w:rFonts w:ascii="Arial" w:hAnsi="Arial"/>
                <w:sz w:val="16"/>
              </w:rPr>
              <w:t>Při poruše hlavní trasy se může doprava přelévat do místních komunikací. Tento scénář je pro obec klíčový.</w:t>
            </w:r>
          </w:p>
        </w:tc>
      </w:tr>
    </w:tbl>
    <w:p>
      <w:pPr>
        <w:spacing w:after="100" w:line="269" w:lineRule="auto"/>
      </w:pPr>
      <w:r>
        <w:rPr>
          <w:rFonts w:ascii="Arial" w:hAnsi="Arial"/>
          <w:b w:val="0"/>
          <w:i w:val="0"/>
          <w:sz w:val="20"/>
        </w:rPr>
        <w:t>Minimální požadavek na dopravní studii by měl obsahovat hodinové intenzity pro každou relevantní kategorii vozidel, nikoli pouze denní průměry. Obec by měla požadovat také mikrosimulační model nejvíce zatížených křižovatek a posouzení bezpečnosti pěších a cyklistů.</w:t>
      </w:r>
    </w:p>
    <w:p>
      <w:pPr>
        <w:pStyle w:val="Heading1"/>
      </w:pPr>
      <w:r>
        <w:t>16. EIA a otázka kumulace vlivů</w:t>
      </w:r>
    </w:p>
    <w:p>
      <w:pPr>
        <w:spacing w:after="100" w:line="269" w:lineRule="auto"/>
      </w:pPr>
      <w:r>
        <w:rPr>
          <w:rFonts w:ascii="Arial" w:hAnsi="Arial"/>
          <w:b w:val="0"/>
          <w:i w:val="0"/>
          <w:sz w:val="20"/>
        </w:rPr>
        <w:t>Veřejný systém CENIA uvádí u záměru JHC926 „Zóna ekonomického rozvoje Boršov“ stav „nepodléhá dalšímu posuzování“ a u záměru JHC1128 pro SO.05 stejný výsledek. To znamená, že příslušný úřad ve zjišťovacím řízení dospěl k závěru, že záměr nebude dále posuzován podle zákona. [S4], [S5]</w:t>
      </w:r>
    </w:p>
    <w:p>
      <w:pPr>
        <w:spacing w:after="100" w:line="269" w:lineRule="auto"/>
      </w:pPr>
      <w:r>
        <w:rPr>
          <w:rFonts w:ascii="Arial" w:hAnsi="Arial"/>
          <w:b w:val="0"/>
          <w:i w:val="0"/>
          <w:sz w:val="20"/>
        </w:rPr>
        <w:t>Tento závěr však nesmí být v politické komunikaci zaměňován za plnohodnotné kladné stanovisko EIA po kompletním posouzení. Zjišťovací řízení je screening. Pokud se významně mění parametry projektu, provozní režim, dopravní intenzity nebo kumulace s další výstavbou, je legitimní ptát se, zda má být změna záměru znovu posouzena.</w:t>
      </w:r>
    </w:p>
    <w:p>
      <w:pPr>
        <w:spacing w:after="100" w:line="269" w:lineRule="auto"/>
      </w:pPr>
      <w:r>
        <w:rPr>
          <w:rFonts w:ascii="Arial" w:hAnsi="Arial"/>
          <w:b w:val="0"/>
          <w:i w:val="0"/>
          <w:sz w:val="20"/>
        </w:rPr>
        <w:t>Zvláštní pozornost si zaslouží formulace v rozhodnutí JHC1128, že kumulace vlivů nastane především s objekty podobného charakteru v území Zóny ekonomického rozvoje Boršov napojenými na stejné komunikace. Právě tato věta potvrzuje, že dopravní a územní kumulace není okrajová otázka, ale jádro problému. [S5]</w:t>
      </w:r>
    </w:p>
    <w:p>
      <w:pPr>
        <w:pStyle w:val="ListBullet"/>
        <w:spacing w:after="60" w:line="259" w:lineRule="auto"/>
      </w:pPr>
      <w:r>
        <w:rPr>
          <w:rFonts w:ascii="Arial" w:hAnsi="Arial"/>
          <w:sz w:val="19"/>
        </w:rPr>
        <w:t>Byla varianta jedné haly Amazonu o ploše přes 76 000 m2 výslovně součástí předchozího posouzení?</w:t>
      </w:r>
    </w:p>
    <w:p>
      <w:pPr>
        <w:pStyle w:val="ListBullet"/>
        <w:spacing w:after="60" w:line="259" w:lineRule="auto"/>
      </w:pPr>
      <w:r>
        <w:rPr>
          <w:rFonts w:ascii="Arial" w:hAnsi="Arial"/>
          <w:sz w:val="19"/>
        </w:rPr>
        <w:t>Byl v předchozím EIA screeningu vyhodnocen dvousměnný provoz s druhou směnou do 4:30?</w:t>
      </w:r>
    </w:p>
    <w:p>
      <w:pPr>
        <w:pStyle w:val="ListBullet"/>
        <w:spacing w:after="60" w:line="259" w:lineRule="auto"/>
      </w:pPr>
      <w:r>
        <w:rPr>
          <w:rFonts w:ascii="Arial" w:hAnsi="Arial"/>
          <w:sz w:val="19"/>
        </w:rPr>
        <w:t>Byla vyhodnocena doprava 277 nákladních vozidel denně a stovky zaměstnaneckých aut?</w:t>
      </w:r>
    </w:p>
    <w:p>
      <w:pPr>
        <w:pStyle w:val="ListBullet"/>
        <w:spacing w:after="60" w:line="259" w:lineRule="auto"/>
      </w:pPr>
      <w:r>
        <w:rPr>
          <w:rFonts w:ascii="Arial" w:hAnsi="Arial"/>
          <w:sz w:val="19"/>
        </w:rPr>
        <w:t>Byla vyhodnocena kumulace s dokončenými halami 4 a 5, s BILLA, TERA Systems, Gebrüder Weiss, NOBO a dalšími objekty parku?</w:t>
      </w:r>
    </w:p>
    <w:p>
      <w:pPr>
        <w:pStyle w:val="ListBullet"/>
        <w:spacing w:after="60" w:line="259" w:lineRule="auto"/>
      </w:pPr>
      <w:r>
        <w:rPr>
          <w:rFonts w:ascii="Arial" w:hAnsi="Arial"/>
          <w:sz w:val="19"/>
        </w:rPr>
        <w:t>Byl vyhodnocen dopad na krajinu a rekreační vazbu k Vltavě v současném stavu roku 2026?</w:t>
      </w:r>
    </w:p>
    <w:p>
      <w:pPr>
        <w:pStyle w:val="Heading1"/>
      </w:pPr>
      <w:r>
        <w:t>17. Plánovací smlouva: minimální standard</w:t>
      </w:r>
    </w:p>
    <w:p>
      <w:pPr>
        <w:spacing w:after="100" w:line="269" w:lineRule="auto"/>
      </w:pPr>
      <w:r>
        <w:rPr>
          <w:rFonts w:ascii="Arial" w:hAnsi="Arial"/>
          <w:b w:val="0"/>
          <w:i w:val="0"/>
          <w:sz w:val="20"/>
        </w:rPr>
        <w:t>Plánovací smlouva může být pro obec nejsilnějším nástrojem. Současně je ale rizikem, pokud bude formulována měkce. Smlouva má být technicko-právní dokument, nikoli PR dohoda. Musí obsahovat konkrétní povinnosti, termíny, odpovědné osoby, sankce, kontrolní mechanismus a postup při porušení.</w:t>
      </w:r>
    </w:p>
    <w:tbl>
      <w:tblPr>
        <w:tblStyle w:val="TableGrid"/>
        <w:tblW w:type="auto" w:w="0"/>
        <w:jc w:val="center"/>
        <w:tblLook w:firstColumn="1" w:firstRow="1" w:lastColumn="0" w:lastRow="0" w:noHBand="0" w:noVBand="1" w:val="04A0"/>
      </w:tblPr>
      <w:tblGrid>
        <w:gridCol w:w="4986"/>
        <w:gridCol w:w="4986"/>
      </w:tblGrid>
      <w:tr>
        <w:tc>
          <w:tcPr>
            <w:tcW w:type="dxa" w:w="4986"/>
            <w:shd w:fill="E2F0D9"/>
          </w:tcPr>
          <w:p>
            <w:r>
              <w:rPr>
                <w:rFonts w:ascii="Arial" w:hAnsi="Arial"/>
                <w:b/>
                <w:sz w:val="17"/>
              </w:rPr>
              <w:t>Smluvní oblast</w:t>
            </w:r>
          </w:p>
        </w:tc>
        <w:tc>
          <w:tcPr>
            <w:tcW w:type="dxa" w:w="4986"/>
            <w:shd w:fill="E2F0D9"/>
          </w:tcPr>
          <w:p>
            <w:r>
              <w:rPr>
                <w:rFonts w:ascii="Arial" w:hAnsi="Arial"/>
                <w:b/>
                <w:sz w:val="17"/>
              </w:rPr>
              <w:t>Doporučený obsah</w:t>
            </w:r>
          </w:p>
        </w:tc>
      </w:tr>
      <w:tr>
        <w:tc>
          <w:tcPr>
            <w:tcW w:type="dxa" w:w="4986"/>
          </w:tcPr>
          <w:p>
            <w:r>
              <w:rPr>
                <w:rFonts w:ascii="Arial" w:hAnsi="Arial"/>
                <w:sz w:val="16"/>
              </w:rPr>
              <w:t>Dopravní infrastruktura</w:t>
            </w:r>
          </w:p>
        </w:tc>
        <w:tc>
          <w:tcPr>
            <w:tcW w:type="dxa" w:w="4986"/>
          </w:tcPr>
          <w:p>
            <w:r>
              <w:rPr>
                <w:rFonts w:ascii="Arial" w:hAnsi="Arial"/>
                <w:sz w:val="16"/>
              </w:rPr>
              <w:t>Přesný seznam stavebních úprav, jejich rozpočet, termíny a odpovědnost investora.</w:t>
            </w:r>
          </w:p>
        </w:tc>
      </w:tr>
      <w:tr>
        <w:tc>
          <w:tcPr>
            <w:tcW w:type="dxa" w:w="4986"/>
          </w:tcPr>
          <w:p>
            <w:r>
              <w:rPr>
                <w:rFonts w:ascii="Arial" w:hAnsi="Arial"/>
                <w:sz w:val="16"/>
              </w:rPr>
              <w:t>Provozní limity</w:t>
            </w:r>
          </w:p>
        </w:tc>
        <w:tc>
          <w:tcPr>
            <w:tcW w:type="dxa" w:w="4986"/>
          </w:tcPr>
          <w:p>
            <w:r>
              <w:rPr>
                <w:rFonts w:ascii="Arial" w:hAnsi="Arial"/>
                <w:sz w:val="16"/>
              </w:rPr>
              <w:t>Maximální počet kamionů / hodinu, zákaz určitých tras, režim nočního provozu.</w:t>
            </w:r>
          </w:p>
        </w:tc>
      </w:tr>
      <w:tr>
        <w:tc>
          <w:tcPr>
            <w:tcW w:type="dxa" w:w="4986"/>
          </w:tcPr>
          <w:p>
            <w:r>
              <w:rPr>
                <w:rFonts w:ascii="Arial" w:hAnsi="Arial"/>
                <w:sz w:val="16"/>
              </w:rPr>
              <w:t>Monitoring</w:t>
            </w:r>
          </w:p>
        </w:tc>
        <w:tc>
          <w:tcPr>
            <w:tcW w:type="dxa" w:w="4986"/>
          </w:tcPr>
          <w:p>
            <w:r>
              <w:rPr>
                <w:rFonts w:ascii="Arial" w:hAnsi="Arial"/>
                <w:sz w:val="16"/>
              </w:rPr>
              <w:t>Trvalé sčítání dopravy, hluku a stížností. Data dostupná obci a veřejnosti.</w:t>
            </w:r>
          </w:p>
        </w:tc>
      </w:tr>
      <w:tr>
        <w:tc>
          <w:tcPr>
            <w:tcW w:type="dxa" w:w="4986"/>
          </w:tcPr>
          <w:p>
            <w:r>
              <w:rPr>
                <w:rFonts w:ascii="Arial" w:hAnsi="Arial"/>
                <w:sz w:val="16"/>
              </w:rPr>
              <w:t>Sankce</w:t>
            </w:r>
          </w:p>
        </w:tc>
        <w:tc>
          <w:tcPr>
            <w:tcW w:type="dxa" w:w="4986"/>
          </w:tcPr>
          <w:p>
            <w:r>
              <w:rPr>
                <w:rFonts w:ascii="Arial" w:hAnsi="Arial"/>
                <w:sz w:val="16"/>
              </w:rPr>
              <w:t>Smluvní pokuty za porušení tras, limitů hluku, opožděné výsadby nebo nedodržení kompenzací.</w:t>
            </w:r>
          </w:p>
        </w:tc>
      </w:tr>
      <w:tr>
        <w:tc>
          <w:tcPr>
            <w:tcW w:type="dxa" w:w="4986"/>
          </w:tcPr>
          <w:p>
            <w:r>
              <w:rPr>
                <w:rFonts w:ascii="Arial" w:hAnsi="Arial"/>
                <w:sz w:val="16"/>
              </w:rPr>
              <w:t>Kompenzace</w:t>
            </w:r>
          </w:p>
        </w:tc>
        <w:tc>
          <w:tcPr>
            <w:tcW w:type="dxa" w:w="4986"/>
          </w:tcPr>
          <w:p>
            <w:r>
              <w:rPr>
                <w:rFonts w:ascii="Arial" w:hAnsi="Arial"/>
                <w:sz w:val="16"/>
              </w:rPr>
              <w:t>Jednorázový i pravidelný příspěvek na obecní infrastrukturu, nikoli pouze symbolické plnění.</w:t>
            </w:r>
          </w:p>
        </w:tc>
      </w:tr>
      <w:tr>
        <w:tc>
          <w:tcPr>
            <w:tcW w:type="dxa" w:w="4986"/>
          </w:tcPr>
          <w:p>
            <w:r>
              <w:rPr>
                <w:rFonts w:ascii="Arial" w:hAnsi="Arial"/>
                <w:sz w:val="16"/>
              </w:rPr>
              <w:t>Změna nájemce</w:t>
            </w:r>
          </w:p>
        </w:tc>
        <w:tc>
          <w:tcPr>
            <w:tcW w:type="dxa" w:w="4986"/>
          </w:tcPr>
          <w:p>
            <w:r>
              <w:rPr>
                <w:rFonts w:ascii="Arial" w:hAnsi="Arial"/>
                <w:sz w:val="16"/>
              </w:rPr>
              <w:t>Povinnosti musí platit i při změně nájemce nebo vlastníka areálu.</w:t>
            </w:r>
          </w:p>
        </w:tc>
      </w:tr>
      <w:tr>
        <w:tc>
          <w:tcPr>
            <w:tcW w:type="dxa" w:w="4986"/>
          </w:tcPr>
          <w:p>
            <w:r>
              <w:rPr>
                <w:rFonts w:ascii="Arial" w:hAnsi="Arial"/>
                <w:sz w:val="16"/>
              </w:rPr>
              <w:t>Audit</w:t>
            </w:r>
          </w:p>
        </w:tc>
        <w:tc>
          <w:tcPr>
            <w:tcW w:type="dxa" w:w="4986"/>
          </w:tcPr>
          <w:p>
            <w:r>
              <w:rPr>
                <w:rFonts w:ascii="Arial" w:hAnsi="Arial"/>
                <w:sz w:val="16"/>
              </w:rPr>
              <w:t>Právo obce nechat provoz nezávisle auditovat na náklady investora.</w:t>
            </w:r>
          </w:p>
        </w:tc>
      </w:tr>
      <w:tr>
        <w:tc>
          <w:tcPr>
            <w:tcW w:type="dxa" w:w="4986"/>
          </w:tcPr>
          <w:p>
            <w:r>
              <w:rPr>
                <w:rFonts w:ascii="Arial" w:hAnsi="Arial"/>
                <w:sz w:val="16"/>
              </w:rPr>
              <w:t>Veřejná komunikace</w:t>
            </w:r>
          </w:p>
        </w:tc>
        <w:tc>
          <w:tcPr>
            <w:tcW w:type="dxa" w:w="4986"/>
          </w:tcPr>
          <w:p>
            <w:r>
              <w:rPr>
                <w:rFonts w:ascii="Arial" w:hAnsi="Arial"/>
                <w:sz w:val="16"/>
              </w:rPr>
              <w:t>Kontaktní místo pro stížnosti, lhůty pro odpovědi a pravidelné veřejné vyhodnocování.</w:t>
            </w:r>
          </w:p>
        </w:tc>
      </w:tr>
    </w:tbl>
    <w:p>
      <w:pPr>
        <w:pStyle w:val="Heading1"/>
      </w:pPr>
      <w:r>
        <w:t>18. Indikátory nestandardnosti / červené vlajky</w:t>
      </w:r>
    </w:p>
    <w:p>
      <w:pPr>
        <w:spacing w:after="100" w:line="269" w:lineRule="auto"/>
      </w:pPr>
      <w:r>
        <w:rPr>
          <w:rFonts w:ascii="Arial" w:hAnsi="Arial"/>
          <w:b w:val="0"/>
          <w:i w:val="0"/>
          <w:sz w:val="20"/>
        </w:rPr>
        <w:t>Následující body nejsou důkazem nezákonnosti. Jsou to však signály, které by měly vést k obezřetnosti a k požadavku na nezávislé ověření.</w:t>
      </w:r>
    </w:p>
    <w:p>
      <w:pPr>
        <w:pStyle w:val="ListNumber"/>
        <w:spacing w:after="60"/>
      </w:pPr>
      <w:r>
        <w:rPr>
          <w:rFonts w:ascii="Arial" w:hAnsi="Arial"/>
          <w:sz w:val="19"/>
        </w:rPr>
        <w:t>Konkrétní podoba záměru byla podle médií obcí intenzivně řešena až od konce dubna 2026, přičemž zahájení stavby se plánuje ještě v roce 2026.</w:t>
      </w:r>
    </w:p>
    <w:p>
      <w:pPr>
        <w:pStyle w:val="ListNumber"/>
        <w:spacing w:after="60"/>
      </w:pPr>
      <w:r>
        <w:rPr>
          <w:rFonts w:ascii="Arial" w:hAnsi="Arial"/>
          <w:sz w:val="19"/>
        </w:rPr>
        <w:t>Veřejnost řeší záměr v situaci, kdy část starší varianty již má podle médií povolení a investor se k ní může vrátit.</w:t>
      </w:r>
    </w:p>
    <w:p>
      <w:pPr>
        <w:pStyle w:val="ListNumber"/>
        <w:spacing w:after="60"/>
      </w:pPr>
      <w:r>
        <w:rPr>
          <w:rFonts w:ascii="Arial" w:hAnsi="Arial"/>
          <w:sz w:val="19"/>
        </w:rPr>
        <w:t>Investor argumentuje menším dopadem oproti čtyřem halám, ale veřejnost musí vidět srovnávací tabulku všech parametrů.</w:t>
      </w:r>
    </w:p>
    <w:p>
      <w:pPr>
        <w:pStyle w:val="ListNumber"/>
        <w:spacing w:after="60"/>
      </w:pPr>
      <w:r>
        <w:rPr>
          <w:rFonts w:ascii="Arial" w:hAnsi="Arial"/>
          <w:sz w:val="19"/>
        </w:rPr>
        <w:t>EIA screening starších záměrů nemusí automaticky pokrývat aktuální provozní koncept Amazonu.</w:t>
      </w:r>
    </w:p>
    <w:p>
      <w:pPr>
        <w:pStyle w:val="ListNumber"/>
        <w:spacing w:after="60"/>
      </w:pPr>
      <w:r>
        <w:rPr>
          <w:rFonts w:ascii="Arial" w:hAnsi="Arial"/>
          <w:sz w:val="19"/>
        </w:rPr>
        <w:t>Klíčová dopravní opatření závisí na orgánech a správcích komunikací mimo přímou kontrolu investora.</w:t>
      </w:r>
    </w:p>
    <w:p>
      <w:pPr>
        <w:pStyle w:val="ListNumber"/>
        <w:spacing w:after="60"/>
      </w:pPr>
      <w:r>
        <w:rPr>
          <w:rFonts w:ascii="Arial" w:hAnsi="Arial"/>
          <w:sz w:val="19"/>
        </w:rPr>
        <w:t>Rozhodnutí má dlouhodobý charakter kvůli mediálně uváděnému 20letému nájmu Amazonu.</w:t>
      </w:r>
    </w:p>
    <w:p>
      <w:pPr>
        <w:pStyle w:val="ListNumber"/>
        <w:spacing w:after="60"/>
      </w:pPr>
      <w:r>
        <w:rPr>
          <w:rFonts w:ascii="Arial" w:hAnsi="Arial"/>
          <w:sz w:val="19"/>
        </w:rPr>
        <w:t>Dopady nejsou pouze v hranicích stavby, ale v celé síti: doprava, bydlení, zaměstnanost, krajina a další rozvoj parku.</w:t>
      </w:r>
    </w:p>
    <w:p>
      <w:pPr>
        <w:pStyle w:val="Heading1"/>
      </w:pPr>
      <w:r>
        <w:t>19. Komunikační riziko a důvěra veřejnosti</w:t>
      </w:r>
    </w:p>
    <w:p>
      <w:pPr>
        <w:spacing w:after="100" w:line="269" w:lineRule="auto"/>
      </w:pPr>
      <w:r>
        <w:rPr>
          <w:rFonts w:ascii="Arial" w:hAnsi="Arial"/>
          <w:b w:val="0"/>
          <w:i w:val="0"/>
          <w:sz w:val="20"/>
        </w:rPr>
        <w:t>U takto rozsáhlého projektu je důvěra veřejnosti stejně důležitá jako technické parametry. Pokud občané získají pocit, že se o projektu dozvěděli pozdě, že se rozhoduje pod tlakem a že klíčové dohody jsou vyjednávány bez dostatečného zveřejnění podkladů, vzniká konflikt bez ohledu na faktickou kvalitu projektu.</w:t>
      </w:r>
    </w:p>
    <w:p>
      <w:pPr>
        <w:spacing w:after="100" w:line="269" w:lineRule="auto"/>
      </w:pPr>
      <w:r>
        <w:rPr>
          <w:rFonts w:ascii="Arial" w:hAnsi="Arial"/>
          <w:b w:val="0"/>
          <w:i w:val="0"/>
          <w:sz w:val="20"/>
        </w:rPr>
        <w:t>Pro obec je proto důležité nastavit proces, který nebude působit jako dodatečná legalizace již připraveného rozhodnutí. Doporučuje se zveřejnit chronologii jednání, seznam dokumentů, návrh plánovací smlouvy, nezávislé posudky a vypořádání připomínek občanů. Veřejné setkání by nemělo být pouze prezentací investora, ale strukturovaným projednáním s možností písemných dotazů a odpovědí.</w:t>
      </w:r>
    </w:p>
    <w:p>
      <w:pPr>
        <w:spacing w:after="100" w:line="269" w:lineRule="auto"/>
      </w:pPr>
      <w:r>
        <w:rPr>
          <w:rFonts w:ascii="Arial" w:hAnsi="Arial"/>
          <w:b w:val="0"/>
          <w:i w:val="0"/>
          <w:sz w:val="20"/>
        </w:rPr>
        <w:t>Z hlediska reputace obce je rizikové, pokud se diskuse zredukuje na dilema „Amazon, nebo horší varianta čtyř hal“. Obec musí požadovat třetí rovinu: jaké konkrétní podmínky jsou nutné, aby jakákoli varianta byla pro Boršov přijatelná.</w:t>
      </w:r>
    </w:p>
    <w:p>
      <w:pPr>
        <w:pStyle w:val="Heading1"/>
      </w:pPr>
      <w:r>
        <w:t>20. Monitoring odporu a veřejné nálady</w:t>
      </w:r>
    </w:p>
    <w:p>
      <w:pPr>
        <w:spacing w:after="100" w:line="269" w:lineRule="auto"/>
      </w:pPr>
      <w:r>
        <w:rPr>
          <w:rFonts w:ascii="Arial" w:hAnsi="Arial"/>
          <w:b w:val="0"/>
          <w:i w:val="0"/>
          <w:sz w:val="20"/>
        </w:rPr>
        <w:t>Aktuálně dohledatelné veřejné projevy odporu zahrnují zejména petici, mediálně citované výhrady obyvatel a regionální sociální síťové příspěvky. Pro další práci je vhodné založit jednoduchý monitoring:</w:t>
      </w:r>
    </w:p>
    <w:p>
      <w:pPr>
        <w:pStyle w:val="ListBullet"/>
        <w:spacing w:after="60" w:line="259" w:lineRule="auto"/>
      </w:pPr>
      <w:r>
        <w:rPr>
          <w:rFonts w:ascii="Arial" w:hAnsi="Arial"/>
          <w:sz w:val="19"/>
        </w:rPr>
        <w:t>Portál veřejné správy: počet podpisů, adresát petice, stav vyřízení.</w:t>
      </w:r>
    </w:p>
    <w:p>
      <w:pPr>
        <w:pStyle w:val="ListBullet"/>
        <w:spacing w:after="60" w:line="259" w:lineRule="auto"/>
      </w:pPr>
      <w:r>
        <w:rPr>
          <w:rFonts w:ascii="Arial" w:hAnsi="Arial"/>
          <w:sz w:val="19"/>
        </w:rPr>
        <w:t>Média: iROZHLAS, MF DNES, Budějcká Drbna, Jižní Čechy Teď, RegionJih, Český rozhlas České Budějovice.</w:t>
      </w:r>
    </w:p>
    <w:p>
      <w:pPr>
        <w:pStyle w:val="ListBullet"/>
        <w:spacing w:after="60" w:line="259" w:lineRule="auto"/>
      </w:pPr>
      <w:r>
        <w:rPr>
          <w:rFonts w:ascii="Arial" w:hAnsi="Arial"/>
          <w:sz w:val="19"/>
        </w:rPr>
        <w:t>Sociální sítě: veřejné posty obce, BAU / Budějovická Architektura a Urbanismus, lokální stránky a komentáře.</w:t>
      </w:r>
    </w:p>
    <w:p>
      <w:pPr>
        <w:pStyle w:val="ListBullet"/>
        <w:spacing w:after="60" w:line="259" w:lineRule="auto"/>
      </w:pPr>
      <w:r>
        <w:rPr>
          <w:rFonts w:ascii="Arial" w:hAnsi="Arial"/>
          <w:sz w:val="19"/>
        </w:rPr>
        <w:t>Úřední desky: obec Boršov, Homole, České Budějovice, Jihočeský kraj, CENIA.</w:t>
      </w:r>
    </w:p>
    <w:p>
      <w:pPr>
        <w:pStyle w:val="ListBullet"/>
        <w:spacing w:after="60" w:line="259" w:lineRule="auto"/>
      </w:pPr>
      <w:r>
        <w:rPr>
          <w:rFonts w:ascii="Arial" w:hAnsi="Arial"/>
          <w:sz w:val="19"/>
        </w:rPr>
        <w:t>Zastupitelstvo: programy, zápisy, usnesení, přílohy, návrh plánovací smlouvy.</w:t>
      </w:r>
    </w:p>
    <w:p>
      <w:pPr>
        <w:pStyle w:val="Heading1"/>
      </w:pPr>
      <w:r>
        <w:t>21. Návrh možného usnesení zastupitelstva</w:t>
      </w:r>
    </w:p>
    <w:p>
      <w:pPr>
        <w:spacing w:after="100" w:line="269" w:lineRule="auto"/>
      </w:pPr>
      <w:r>
        <w:rPr>
          <w:rFonts w:ascii="Arial" w:hAnsi="Arial"/>
          <w:b w:val="0"/>
          <w:i w:val="0"/>
          <w:sz w:val="20"/>
        </w:rPr>
        <w:t>Níže uvedený text je pracovní návrh formulace, nikoli právní doporučení. Měl by být upraven advokátem obce.</w:t>
      </w:r>
    </w:p>
    <w:p>
      <w:pPr>
        <w:spacing w:after="100" w:line="269" w:lineRule="auto"/>
      </w:pPr>
      <w:r>
        <w:rPr>
          <w:rFonts w:ascii="Arial" w:hAnsi="Arial"/>
          <w:b w:val="0"/>
          <w:i w:val="0"/>
          <w:sz w:val="20"/>
        </w:rPr>
        <w:t>Zastupitelstvo obce Boršov nad Vltavou bere na vědomí záměr výstavby logistické haly pro společnost Amazon v území Zóny ekonomického rozvoje Boršov nad Vltavou. Zastupitelstvo konstatuje, že vzhledem k rozsahu záměru, jeho dopravním, hlukovým, světelným, krajinářským a sociálně-ekonomickým dopadům nepovažuje za možné přijmout jakékoli finální stanovisko bez předložení kompletních podkladů, nezávislých odborných posudků a návrhu právně vymahatelné plánovací smlouvy.</w:t>
      </w:r>
    </w:p>
    <w:p>
      <w:pPr>
        <w:spacing w:after="100" w:line="269" w:lineRule="auto"/>
      </w:pPr>
      <w:r>
        <w:rPr>
          <w:rFonts w:ascii="Arial" w:hAnsi="Arial"/>
          <w:b w:val="0"/>
          <w:i w:val="0"/>
          <w:sz w:val="20"/>
        </w:rPr>
        <w:t>Zastupitelstvo ukládá vedení obce vyžádat si od investora kompletní dokumentaci, včetně dopravní studie, hlukové studie, světelné studie, rozptylové studie, biologického hodnocení, návrhu krajinářských opatření, návrhu provozních limitů a návrhu kompenzačních opatření. Zastupitelstvo dále ukládá objednat nezávislé oponentní posouzení dopravní a hlukové studie před dalším rozhodováním.</w:t>
      </w:r>
    </w:p>
    <w:p>
      <w:pPr>
        <w:pStyle w:val="Heading1"/>
      </w:pPr>
      <w:r>
        <w:t>22. Návrh žádosti o informace a podklady</w:t>
      </w:r>
    </w:p>
    <w:p>
      <w:pPr>
        <w:spacing w:after="100" w:line="269" w:lineRule="auto"/>
      </w:pPr>
      <w:r>
        <w:rPr>
          <w:rFonts w:ascii="Arial" w:hAnsi="Arial"/>
          <w:b w:val="0"/>
          <w:i w:val="0"/>
          <w:sz w:val="20"/>
        </w:rPr>
        <w:t>Obec nebo občanská iniciativa může systematicky žádat zejména tyto dokumenty:</w:t>
      </w:r>
    </w:p>
    <w:p>
      <w:pPr>
        <w:pStyle w:val="ListBullet"/>
        <w:spacing w:after="60" w:line="259" w:lineRule="auto"/>
      </w:pPr>
      <w:r>
        <w:rPr>
          <w:rFonts w:ascii="Arial" w:hAnsi="Arial"/>
          <w:sz w:val="19"/>
        </w:rPr>
        <w:t>kompletní aktuální situační výkres areálu včetně dopravního napojení,</w:t>
      </w:r>
    </w:p>
    <w:p>
      <w:pPr>
        <w:pStyle w:val="ListBullet"/>
        <w:spacing w:after="60" w:line="259" w:lineRule="auto"/>
      </w:pPr>
      <w:r>
        <w:rPr>
          <w:rFonts w:ascii="Arial" w:hAnsi="Arial"/>
          <w:sz w:val="19"/>
        </w:rPr>
        <w:t>porovnání původní varianty čtyř hal a aktuální varianty Amazonu,</w:t>
      </w:r>
    </w:p>
    <w:p>
      <w:pPr>
        <w:pStyle w:val="ListBullet"/>
        <w:spacing w:after="60" w:line="259" w:lineRule="auto"/>
      </w:pPr>
      <w:r>
        <w:rPr>
          <w:rFonts w:ascii="Arial" w:hAnsi="Arial"/>
          <w:sz w:val="19"/>
        </w:rPr>
        <w:t>aktuální dopravní studii včetně kapacitního posouzení křižovatek,</w:t>
      </w:r>
    </w:p>
    <w:p>
      <w:pPr>
        <w:pStyle w:val="ListBullet"/>
        <w:spacing w:after="60" w:line="259" w:lineRule="auto"/>
      </w:pPr>
      <w:r>
        <w:rPr>
          <w:rFonts w:ascii="Arial" w:hAnsi="Arial"/>
          <w:sz w:val="19"/>
        </w:rPr>
        <w:t>hlukovou studii pro denní a noční dobu,</w:t>
      </w:r>
    </w:p>
    <w:p>
      <w:pPr>
        <w:pStyle w:val="ListBullet"/>
        <w:spacing w:after="60" w:line="259" w:lineRule="auto"/>
      </w:pPr>
      <w:r>
        <w:rPr>
          <w:rFonts w:ascii="Arial" w:hAnsi="Arial"/>
          <w:sz w:val="19"/>
        </w:rPr>
        <w:t>světelně-technickou studii,</w:t>
      </w:r>
    </w:p>
    <w:p>
      <w:pPr>
        <w:pStyle w:val="ListBullet"/>
        <w:spacing w:after="60" w:line="259" w:lineRule="auto"/>
      </w:pPr>
      <w:r>
        <w:rPr>
          <w:rFonts w:ascii="Arial" w:hAnsi="Arial"/>
          <w:sz w:val="19"/>
        </w:rPr>
        <w:t>rozptylovou studii a vyhodnocení prašnosti,</w:t>
      </w:r>
    </w:p>
    <w:p>
      <w:pPr>
        <w:pStyle w:val="ListBullet"/>
        <w:spacing w:after="60" w:line="259" w:lineRule="auto"/>
      </w:pPr>
      <w:r>
        <w:rPr>
          <w:rFonts w:ascii="Arial" w:hAnsi="Arial"/>
          <w:sz w:val="19"/>
        </w:rPr>
        <w:t>vodohospodářské řešení, retence a havarijní plán,</w:t>
      </w:r>
    </w:p>
    <w:p>
      <w:pPr>
        <w:pStyle w:val="ListBullet"/>
        <w:spacing w:after="60" w:line="259" w:lineRule="auto"/>
      </w:pPr>
      <w:r>
        <w:rPr>
          <w:rFonts w:ascii="Arial" w:hAnsi="Arial"/>
          <w:sz w:val="19"/>
        </w:rPr>
        <w:t>biologické hodnocení území a dopad na okolí Vltavy,</w:t>
      </w:r>
    </w:p>
    <w:p>
      <w:pPr>
        <w:pStyle w:val="ListBullet"/>
        <w:spacing w:after="60" w:line="259" w:lineRule="auto"/>
      </w:pPr>
      <w:r>
        <w:rPr>
          <w:rFonts w:ascii="Arial" w:hAnsi="Arial"/>
          <w:sz w:val="19"/>
        </w:rPr>
        <w:t>návrh plánovací smlouvy včetně příloh, sankcí a kompenzací,</w:t>
      </w:r>
    </w:p>
    <w:p>
      <w:pPr>
        <w:pStyle w:val="ListBullet"/>
        <w:spacing w:after="60" w:line="259" w:lineRule="auto"/>
      </w:pPr>
      <w:r>
        <w:rPr>
          <w:rFonts w:ascii="Arial" w:hAnsi="Arial"/>
          <w:sz w:val="19"/>
        </w:rPr>
        <w:t>seznam všech již vydaných rozhodnutí, stavebních povolení a řízení souvisejících s lokalitou.</w:t>
      </w:r>
    </w:p>
    <w:p>
      <w:pPr>
        <w:pStyle w:val="Heading1"/>
      </w:pPr>
      <w:r>
        <w:t>23. Finální pracovní stanovisko studie</w:t>
      </w:r>
    </w:p>
    <w:p>
      <w:pPr>
        <w:spacing w:after="100" w:line="269" w:lineRule="auto"/>
      </w:pPr>
      <w:r>
        <w:rPr>
          <w:rFonts w:ascii="Arial" w:hAnsi="Arial"/>
          <w:b w:val="0"/>
          <w:i w:val="0"/>
          <w:sz w:val="20"/>
        </w:rPr>
        <w:t>Na základě dostupných veřejných informací nelze doporučit, aby obec přistoupila k jakémukoli rychlému politickému souhlasu se záměrem. Nejdříve musí být doloženo, že aktuální varianta Amazonu je skutečně méně zatěžující než dřívější varianty a že její negativní dopady jsou technicky a právně zvládnutelné.</w:t>
      </w:r>
    </w:p>
    <w:p>
      <w:pPr>
        <w:spacing w:after="100" w:line="269" w:lineRule="auto"/>
      </w:pPr>
      <w:r>
        <w:rPr>
          <w:rFonts w:ascii="Arial" w:hAnsi="Arial"/>
          <w:b w:val="0"/>
          <w:i w:val="0"/>
          <w:sz w:val="20"/>
        </w:rPr>
        <w:t>Základní pozice obce by měla znít: bez úplných podkladů, nezávislé oponentury a vymahatelných závazků nelze projekt považovat za přijatelný. Tato pozice není odmítnutím rozvoje jako takového; je to požadavek na odpovědné rozhodování v situaci, kdy se rozhoduje o charakteru území na desítky let.</w:t>
      </w:r>
    </w:p>
    <w:sectPr w:rsidR="00FC693F" w:rsidRPr="0006063C" w:rsidSect="00034616">
      <w:footerReference w:type="default" r:id="rId9"/>
      <w:pgSz w:w="12240" w:h="15840"/>
      <w:pgMar w:top="964" w:right="1134" w:bottom="96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787878"/>
        <w:sz w:val="16"/>
      </w:rPr>
      <w:t>Amazon Boršov nad Vltavou – analytická studie rizik | pracovní verze | 1. 7. 2026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F4E79"/>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1F4E79"/>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5B5B5B"/>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b/>
      <w:color w:val="17365D" w:themeColor="text2" w:themeShade="BF"/>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Arial" w:hAnsi="Arial" w:eastAsia="Arial"/>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